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南山森兰匹克球运动公园</w:t>
      </w:r>
    </w:p>
    <w:p>
      <w:pPr>
        <w:pStyle w:val="Subtitle"/>
      </w:pPr>
      <w:r>
        <w:rPr>
          <w:b w:val="0"/>
        </w:rPr>
        <w:t>气候影响与规划建设运营建议</w:t>
      </w:r>
    </w:p>
    <w:p>
      <w:r>
        <w:rPr>
          <w:b w:val="0"/>
          <w:sz w:val="18"/>
        </w:rPr>
        <w:t>详细专题报告  策划提案对照修订版  2026年9月26日</w:t>
      </w:r>
    </w:p>
    <w:p>
      <w:r>
        <w:rPr>
          <w:b w:val="0"/>
        </w:rPr>
        <w:t>本报告依据《南山森兰匹克球运动公园策划提案》提出的18片匹克球场、6块网球场及配套设施，分析温度、雨水、日照光线、风和湿度对规划、建设与运营的影响。提案中的拟建方案作为分析前提，不表示工程已完成或性能已验证。</w:t>
      </w:r>
    </w:p>
    <w:p>
      <w:pPr>
        <w:pStyle w:val="Heading1"/>
      </w:pPr>
      <w:r>
        <w:t>一  主要结论与证据边界</w:t>
      </w:r>
    </w:p>
    <w:p>
      <w:r>
        <w:rPr>
          <w:b/>
        </w:rPr>
        <w:t xml:space="preserve">建设优先级。 </w:t>
      </w:r>
      <w:r>
        <w:t>先解决来水、排水、基层稳定和湿滑问题，并按提案拟定的装配式篷房方案，核实匹克球场覆盖范围、侧面围合、通风、光线及结构使用条件。网球场覆盖形式尚未明确，应另行分析；不能因匹克球场拟有篷房而直接称为全天候场地。</w:t>
      </w:r>
    </w:p>
    <w:p>
      <w:r>
        <w:rPr>
          <w:b/>
        </w:rPr>
        <w:t xml:space="preserve">运营优先级。 </w:t>
      </w:r>
      <w:r>
        <w:t>夏季以早晚为主要排课窗口，持续保留雨天调整能力；秋冬关注阴湿、露水和光照不足。所有时段最终以属地预警、现场检查和实际运动体验决定，不按月份机械开停场。</w:t>
      </w:r>
    </w:p>
    <w:p>
      <w:r>
        <w:rPr>
          <w:b/>
        </w:rPr>
        <w:t xml:space="preserve">综合设计原则。 </w:t>
      </w:r>
      <w:r>
        <w:t>温度、光线、风和湿度需要一起判断。遮阳可能改善热感，也可能减慢地面干燥；密集防风可能改善控球，也可能削弱通风。应比较整体使用效果，而不是单独追求更大棚面或更密围挡。</w:t>
      </w:r>
    </w:p>
    <w:p>
      <w:pPr>
        <w:pStyle w:val="Heading2"/>
      </w:pPr>
      <w:r>
        <w:t>资料能说明什么</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90" w:type="dxa"/>
          <w:right w:w="90" w:type="dxa"/>
        </w:tblCellMar>
      </w:tblPr>
      <w:tblGrid>
        <w:gridCol w:w="1757"/>
        <w:gridCol w:w="3969"/>
        <w:gridCol w:w="3912"/>
      </w:tblGrid>
      <w:tr>
        <w:trPr>
          <w:cantSplit/>
          <w:tblHeader/>
        </w:trPr>
        <w:tc>
          <w:tcPr>
            <w:tcW w:type="dxa" w:w="1757"/>
            <w:vAlign w:val="center"/>
            <w:shd w:fill="E7EEF2"/>
          </w:tcPr>
          <w:p>
            <w:pPr>
              <w:spacing w:after="0" w:line="264" w:lineRule="auto"/>
              <w:jc w:val="center"/>
            </w:pPr>
            <w:r>
              <w:rPr>
                <w:b/>
                <w:sz w:val="20"/>
              </w:rPr>
              <w:t>资料层级</w:t>
            </w:r>
          </w:p>
        </w:tc>
        <w:tc>
          <w:tcPr>
            <w:tcW w:type="dxa" w:w="3969"/>
            <w:vAlign w:val="center"/>
            <w:shd w:fill="E7EEF2"/>
          </w:tcPr>
          <w:p>
            <w:pPr>
              <w:spacing w:after="0" w:line="264" w:lineRule="auto"/>
              <w:jc w:val="center"/>
            </w:pPr>
            <w:r>
              <w:rPr>
                <w:b/>
                <w:sz w:val="20"/>
              </w:rPr>
              <w:t>目前掌握的依据</w:t>
            </w:r>
          </w:p>
        </w:tc>
        <w:tc>
          <w:tcPr>
            <w:tcW w:type="dxa" w:w="3912"/>
            <w:vAlign w:val="center"/>
            <w:shd w:fill="E7EEF2"/>
          </w:tcPr>
          <w:p>
            <w:pPr>
              <w:spacing w:after="0" w:line="264" w:lineRule="auto"/>
              <w:jc w:val="center"/>
            </w:pPr>
            <w:r>
              <w:rPr>
                <w:b/>
                <w:sz w:val="20"/>
              </w:rPr>
              <w:t>用于本项目的边界</w:t>
            </w:r>
          </w:p>
        </w:tc>
      </w:tr>
      <w:tr>
        <w:trPr>
          <w:cantSplit/>
        </w:trPr>
        <w:tc>
          <w:tcPr>
            <w:tcW w:type="dxa" w:w="1757"/>
            <w:vAlign w:val="center"/>
            <w:shd w:fill="FFFFFF"/>
          </w:tcPr>
          <w:p>
            <w:pPr>
              <w:spacing w:after="0" w:line="264" w:lineRule="auto"/>
              <w:jc w:val="center"/>
            </w:pPr>
            <w:r>
              <w:rPr>
                <w:b w:val="0"/>
                <w:sz w:val="20"/>
              </w:rPr>
              <w:t>南山本地降水背景</w:t>
            </w:r>
          </w:p>
        </w:tc>
        <w:tc>
          <w:tcPr>
            <w:tcW w:type="dxa" w:w="3969"/>
            <w:vAlign w:val="center"/>
            <w:shd w:fill="FFFFFF"/>
          </w:tcPr>
          <w:p>
            <w:pPr>
              <w:spacing w:after="0" w:line="264" w:lineRule="auto"/>
              <w:jc w:val="left"/>
            </w:pPr>
            <w:r>
              <w:rPr>
                <w:b w:val="0"/>
                <w:sz w:val="20"/>
              </w:rPr>
              <w:t>公开环评转引“南山气象站”多年平均降水1082.6毫米，5—9月约占70%。[1]</w:t>
            </w:r>
          </w:p>
        </w:tc>
        <w:tc>
          <w:tcPr>
            <w:tcW w:type="dxa" w:w="3912"/>
            <w:vAlign w:val="center"/>
            <w:shd w:fill="FFFFFF"/>
          </w:tcPr>
          <w:p>
            <w:pPr>
              <w:spacing w:after="0" w:line="264" w:lineRule="auto"/>
              <w:jc w:val="left"/>
            </w:pPr>
            <w:r>
              <w:rPr>
                <w:b w:val="0"/>
                <w:sz w:val="20"/>
              </w:rPr>
              <w:t>该段未列站号、坐标和统计期，只能作为有出处的本地背景。</w:t>
            </w:r>
          </w:p>
        </w:tc>
      </w:tr>
      <w:tr>
        <w:trPr>
          <w:cantSplit/>
        </w:trPr>
        <w:tc>
          <w:tcPr>
            <w:tcW w:type="dxa" w:w="1757"/>
            <w:vAlign w:val="center"/>
            <w:shd w:fill="F7F9FA"/>
          </w:tcPr>
          <w:p>
            <w:pPr>
              <w:spacing w:after="0" w:line="264" w:lineRule="auto"/>
              <w:jc w:val="center"/>
            </w:pPr>
            <w:r>
              <w:rPr>
                <w:b w:val="0"/>
                <w:sz w:val="20"/>
              </w:rPr>
              <w:t>南山单次暴雨记录</w:t>
            </w:r>
          </w:p>
        </w:tc>
        <w:tc>
          <w:tcPr>
            <w:tcW w:type="dxa" w:w="3969"/>
            <w:vAlign w:val="center"/>
            <w:shd w:fill="F7F9FA"/>
          </w:tcPr>
          <w:p>
            <w:pPr>
              <w:spacing w:after="0" w:line="264" w:lineRule="auto"/>
              <w:jc w:val="left"/>
            </w:pPr>
            <w:r>
              <w:rPr>
                <w:b w:val="0"/>
                <w:sz w:val="20"/>
              </w:rPr>
              <w:t>龙井村2025年7月8日08时至9日08时，24小时雨量315.5毫米。[2]</w:t>
            </w:r>
          </w:p>
        </w:tc>
        <w:tc>
          <w:tcPr>
            <w:tcW w:type="dxa" w:w="3912"/>
            <w:vAlign w:val="center"/>
            <w:shd w:fill="F7F9FA"/>
          </w:tcPr>
          <w:p>
            <w:pPr>
              <w:spacing w:after="0" w:line="264" w:lineRule="auto"/>
              <w:jc w:val="left"/>
            </w:pPr>
            <w:r>
              <w:rPr>
                <w:b w:val="0"/>
                <w:sz w:val="20"/>
              </w:rPr>
              <w:t>说明本地存在强降雨案例；不等于地块实测、设计雨强或特定重现期。</w:t>
            </w:r>
          </w:p>
        </w:tc>
      </w:tr>
      <w:tr>
        <w:trPr>
          <w:cantSplit/>
        </w:trPr>
        <w:tc>
          <w:tcPr>
            <w:tcW w:type="dxa" w:w="1757"/>
            <w:vAlign w:val="center"/>
            <w:shd w:fill="FFFFFF"/>
          </w:tcPr>
          <w:p>
            <w:pPr>
              <w:spacing w:after="0" w:line="264" w:lineRule="auto"/>
              <w:jc w:val="center"/>
            </w:pPr>
            <w:r>
              <w:rPr>
                <w:b w:val="0"/>
                <w:sz w:val="20"/>
              </w:rPr>
              <w:t>区域连续气候统计</w:t>
            </w:r>
          </w:p>
        </w:tc>
        <w:tc>
          <w:tcPr>
            <w:tcW w:type="dxa" w:w="3969"/>
            <w:vAlign w:val="center"/>
            <w:shd w:fill="FFFFFF"/>
          </w:tcPr>
          <w:p>
            <w:pPr>
              <w:spacing w:after="0" w:line="264" w:lineRule="auto"/>
              <w:jc w:val="left"/>
            </w:pPr>
            <w:r>
              <w:rPr>
                <w:b w:val="0"/>
                <w:sz w:val="20"/>
              </w:rPr>
              <w:t>沙坪坝国家站1991—2020年月度温度、降雨、日照、湿度和风速。[3]</w:t>
            </w:r>
          </w:p>
        </w:tc>
        <w:tc>
          <w:tcPr>
            <w:tcW w:type="dxa" w:w="3912"/>
            <w:vAlign w:val="center"/>
            <w:shd w:fill="FFFFFF"/>
          </w:tcPr>
          <w:p>
            <w:pPr>
              <w:spacing w:after="0" w:line="264" w:lineRule="auto"/>
              <w:jc w:val="left"/>
            </w:pPr>
            <w:r>
              <w:rPr>
                <w:b w:val="0"/>
                <w:sz w:val="20"/>
              </w:rPr>
              <w:t>用于季节规律参考；不拼接成“南山地块气候序列”。</w:t>
            </w:r>
          </w:p>
        </w:tc>
      </w:tr>
      <w:tr>
        <w:trPr>
          <w:cantSplit/>
        </w:trPr>
        <w:tc>
          <w:tcPr>
            <w:tcW w:type="dxa" w:w="1757"/>
            <w:vAlign w:val="center"/>
            <w:shd w:fill="F7F9FA"/>
          </w:tcPr>
          <w:p>
            <w:pPr>
              <w:spacing w:after="0" w:line="264" w:lineRule="auto"/>
              <w:jc w:val="center"/>
            </w:pPr>
            <w:r>
              <w:rPr>
                <w:b w:val="0"/>
                <w:sz w:val="20"/>
              </w:rPr>
              <w:t>地块实测</w:t>
            </w:r>
          </w:p>
        </w:tc>
        <w:tc>
          <w:tcPr>
            <w:tcW w:type="dxa" w:w="3969"/>
            <w:vAlign w:val="center"/>
            <w:shd w:fill="F7F9FA"/>
          </w:tcPr>
          <w:p>
            <w:pPr>
              <w:spacing w:after="0" w:line="264" w:lineRule="auto"/>
              <w:jc w:val="left"/>
            </w:pPr>
            <w:r>
              <w:rPr>
                <w:b w:val="0"/>
                <w:sz w:val="20"/>
              </w:rPr>
              <w:t>尚未取得连续多年、可核对站址的完整气象序列。</w:t>
            </w:r>
          </w:p>
        </w:tc>
        <w:tc>
          <w:tcPr>
            <w:tcW w:type="dxa" w:w="3912"/>
            <w:vAlign w:val="center"/>
            <w:shd w:fill="F7F9FA"/>
          </w:tcPr>
          <w:p>
            <w:pPr>
              <w:spacing w:after="0" w:line="264" w:lineRule="auto"/>
              <w:jc w:val="left"/>
            </w:pPr>
            <w:r>
              <w:rPr>
                <w:b w:val="0"/>
                <w:sz w:val="20"/>
              </w:rPr>
              <w:t>不能据此确认年度停业天数、风向、降温幅度或雨后固定复场时间。</w:t>
            </w:r>
          </w:p>
        </w:tc>
      </w:tr>
    </w:tbl>
    <w:p>
      <w:r>
        <w:rPr>
          <w:b w:val="0"/>
          <w:sz w:val="20"/>
        </w:rPr>
        <w:t>项目位于向黄隧道上山方向出口南侧。其海拔、坡向、植被、山体与建筑遮挡、铺装及道路缺口均可能使场内天气不同于参证站。尚未核实上述南山观测点与地块的距离及海拔差，不能认定其为最近或最具代表性的站点。以下“建议”均为待设计、施工或运营验证的措施。</w:t>
      </w:r>
    </w:p>
    <w:p>
      <w:r>
        <w:br w:type="page"/>
      </w:r>
    </w:p>
    <w:p>
      <w:pPr>
        <w:pStyle w:val="Heading1"/>
      </w:pPr>
      <w:r>
        <w:t>二  提案中的设施条件与分析前提</w:t>
      </w:r>
    </w:p>
    <w:p>
      <w:r>
        <w:rPr>
          <w:b w:val="0"/>
        </w:rPr>
        <w:t>本章依据策划提案第2.4、3.1—3.3、5.1及7章。设施数量、构造和运营目标均为提案设想；其中未给出的尺寸、覆盖范围、围合程度和性能，列为设计待核项。[11]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90" w:type="dxa"/>
          <w:right w:w="90" w:type="dxa"/>
        </w:tblCellMar>
      </w:tblPr>
      <w:tblGrid>
        <w:gridCol w:w="1701"/>
        <w:gridCol w:w="3685"/>
        <w:gridCol w:w="4252"/>
      </w:tblGrid>
      <w:tr>
        <w:trPr>
          <w:cantSplit/>
          <w:tblHeader/>
        </w:trPr>
        <w:tc>
          <w:tcPr>
            <w:tcW w:type="dxa" w:w="1701"/>
            <w:vAlign w:val="center"/>
            <w:shd w:fill="E7EEF2"/>
          </w:tcPr>
          <w:p>
            <w:pPr>
              <w:spacing w:after="0" w:line="264" w:lineRule="auto"/>
              <w:jc w:val="center"/>
            </w:pPr>
            <w:r>
              <w:rPr>
                <w:b/>
                <w:sz w:val="20"/>
              </w:rPr>
              <w:t>设施或安排</w:t>
            </w:r>
          </w:p>
        </w:tc>
        <w:tc>
          <w:tcPr>
            <w:tcW w:type="dxa" w:w="3685"/>
            <w:vAlign w:val="center"/>
            <w:shd w:fill="E7EEF2"/>
          </w:tcPr>
          <w:p>
            <w:pPr>
              <w:spacing w:after="0" w:line="264" w:lineRule="auto"/>
              <w:jc w:val="center"/>
            </w:pPr>
            <w:r>
              <w:rPr>
                <w:b/>
                <w:sz w:val="20"/>
              </w:rPr>
              <w:t>提案已写明的条件</w:t>
            </w:r>
          </w:p>
        </w:tc>
        <w:tc>
          <w:tcPr>
            <w:tcW w:type="dxa" w:w="4252"/>
            <w:vAlign w:val="center"/>
            <w:shd w:fill="E7EEF2"/>
          </w:tcPr>
          <w:p>
            <w:pPr>
              <w:spacing w:after="0" w:line="264" w:lineRule="auto"/>
              <w:jc w:val="center"/>
            </w:pPr>
            <w:r>
              <w:rPr>
                <w:b/>
                <w:sz w:val="20"/>
              </w:rPr>
              <w:t>气候分析采用的前提及待核项</w:t>
            </w:r>
          </w:p>
        </w:tc>
      </w:tr>
      <w:tr>
        <w:trPr>
          <w:cantSplit/>
        </w:trPr>
        <w:tc>
          <w:tcPr>
            <w:tcW w:type="dxa" w:w="1701"/>
            <w:vAlign w:val="center"/>
            <w:shd w:fill="FFFFFF"/>
          </w:tcPr>
          <w:p>
            <w:pPr>
              <w:spacing w:after="0" w:line="264" w:lineRule="auto"/>
              <w:jc w:val="center"/>
            </w:pPr>
            <w:r>
              <w:rPr>
                <w:b w:val="0"/>
                <w:sz w:val="20"/>
              </w:rPr>
              <w:t>18片匹克球场</w:t>
            </w:r>
          </w:p>
        </w:tc>
        <w:tc>
          <w:tcPr>
            <w:tcW w:type="dxa" w:w="3685"/>
            <w:vAlign w:val="center"/>
            <w:shd w:fill="FFFFFF"/>
          </w:tcPr>
          <w:p>
            <w:pPr>
              <w:spacing w:after="0" w:line="264" w:lineRule="auto"/>
              <w:jc w:val="left"/>
            </w:pPr>
            <w:r>
              <w:rPr>
                <w:b w:val="0"/>
                <w:sz w:val="20"/>
              </w:rPr>
              <w:t>比赛级与训练级分区；采用铝合金装配式篷房，提案称无混凝土基础。</w:t>
            </w:r>
          </w:p>
        </w:tc>
        <w:tc>
          <w:tcPr>
            <w:tcW w:type="dxa" w:w="4252"/>
            <w:vAlign w:val="center"/>
            <w:shd w:fill="FFFFFF"/>
          </w:tcPr>
          <w:p>
            <w:pPr>
              <w:spacing w:after="0" w:line="264" w:lineRule="auto"/>
              <w:jc w:val="left"/>
            </w:pPr>
            <w:r>
              <w:rPr>
                <w:b w:val="0"/>
                <w:sz w:val="20"/>
              </w:rPr>
              <w:t>按拟篷房球场分析。逐片确认棚体对应范围、屋面与侧幕、通风开口、棚边飘雨区和净空；不认定18片均已获得完整遮雨。</w:t>
            </w:r>
          </w:p>
        </w:tc>
      </w:tr>
      <w:tr>
        <w:trPr>
          <w:cantSplit/>
        </w:trPr>
        <w:tc>
          <w:tcPr>
            <w:tcW w:type="dxa" w:w="1701"/>
            <w:vAlign w:val="center"/>
            <w:shd w:fill="F7F9FA"/>
          </w:tcPr>
          <w:p>
            <w:pPr>
              <w:spacing w:after="0" w:line="264" w:lineRule="auto"/>
              <w:jc w:val="center"/>
            </w:pPr>
            <w:r>
              <w:rPr>
                <w:b w:val="0"/>
                <w:sz w:val="20"/>
              </w:rPr>
              <w:t>6块网球场</w:t>
            </w:r>
          </w:p>
        </w:tc>
        <w:tc>
          <w:tcPr>
            <w:tcW w:type="dxa" w:w="3685"/>
            <w:vAlign w:val="center"/>
            <w:shd w:fill="F7F9FA"/>
          </w:tcPr>
          <w:p>
            <w:pPr>
              <w:spacing w:after="0" w:line="264" w:lineRule="auto"/>
              <w:jc w:val="left"/>
            </w:pPr>
            <w:r>
              <w:rPr>
                <w:b w:val="0"/>
                <w:sz w:val="20"/>
              </w:rPr>
              <w:t>标准网球场，未明确遮雨覆盖形式。</w:t>
            </w:r>
          </w:p>
        </w:tc>
        <w:tc>
          <w:tcPr>
            <w:tcW w:type="dxa" w:w="4252"/>
            <w:vAlign w:val="center"/>
            <w:shd w:fill="F7F9FA"/>
          </w:tcPr>
          <w:p>
            <w:pPr>
              <w:spacing w:after="0" w:line="264" w:lineRule="auto"/>
              <w:jc w:val="left"/>
            </w:pPr>
            <w:r>
              <w:rPr>
                <w:b w:val="0"/>
                <w:sz w:val="20"/>
              </w:rPr>
              <w:t>覆盖方案确认前保留露天与有覆盖两种情形；不能把匹克球篷房的使用条件直接套用。</w:t>
            </w:r>
          </w:p>
        </w:tc>
      </w:tr>
      <w:tr>
        <w:trPr>
          <w:cantSplit/>
        </w:trPr>
        <w:tc>
          <w:tcPr>
            <w:tcW w:type="dxa" w:w="1701"/>
            <w:vAlign w:val="center"/>
            <w:shd w:fill="FFFFFF"/>
          </w:tcPr>
          <w:p>
            <w:pPr>
              <w:spacing w:after="0" w:line="264" w:lineRule="auto"/>
              <w:jc w:val="center"/>
            </w:pPr>
            <w:r>
              <w:rPr>
                <w:b w:val="0"/>
                <w:sz w:val="20"/>
              </w:rPr>
              <w:t>配套及公共空间</w:t>
            </w:r>
          </w:p>
        </w:tc>
        <w:tc>
          <w:tcPr>
            <w:tcW w:type="dxa" w:w="3685"/>
            <w:vAlign w:val="center"/>
            <w:shd w:fill="FFFFFF"/>
          </w:tcPr>
          <w:p>
            <w:pPr>
              <w:spacing w:after="0" w:line="264" w:lineRule="auto"/>
              <w:jc w:val="left"/>
            </w:pPr>
            <w:r>
              <w:rPr>
                <w:b w:val="0"/>
                <w:sz w:val="20"/>
              </w:rPr>
              <w:t>集装箱模块与膜结构；咖啡轻食、音乐驿站、更衣淋浴、器材存放、停车、绿地和旅拍节点。</w:t>
            </w:r>
          </w:p>
        </w:tc>
        <w:tc>
          <w:tcPr>
            <w:tcW w:type="dxa" w:w="4252"/>
            <w:vAlign w:val="center"/>
            <w:shd w:fill="FFFFFF"/>
          </w:tcPr>
          <w:p>
            <w:pPr>
              <w:spacing w:after="0" w:line="264" w:lineRule="auto"/>
              <w:jc w:val="left"/>
            </w:pPr>
            <w:r>
              <w:rPr>
                <w:b w:val="0"/>
                <w:sz w:val="20"/>
              </w:rPr>
              <w:t>分别检查室内外热环境、防潮、排水、候场及步行通达；模块化设施不自动等于雷电避难空间。</w:t>
            </w:r>
          </w:p>
        </w:tc>
      </w:tr>
      <w:tr>
        <w:trPr>
          <w:cantSplit/>
        </w:trPr>
        <w:tc>
          <w:tcPr>
            <w:tcW w:type="dxa" w:w="1701"/>
            <w:vAlign w:val="center"/>
            <w:shd w:fill="F7F9FA"/>
          </w:tcPr>
          <w:p>
            <w:pPr>
              <w:spacing w:after="0" w:line="264" w:lineRule="auto"/>
              <w:jc w:val="center"/>
            </w:pPr>
            <w:r>
              <w:rPr>
                <w:b w:val="0"/>
                <w:sz w:val="20"/>
              </w:rPr>
              <w:t>基础及附属设施</w:t>
            </w:r>
          </w:p>
        </w:tc>
        <w:tc>
          <w:tcPr>
            <w:tcW w:type="dxa" w:w="3685"/>
            <w:vAlign w:val="center"/>
            <w:shd w:fill="F7F9FA"/>
          </w:tcPr>
          <w:p>
            <w:pPr>
              <w:spacing w:after="0" w:line="264" w:lineRule="auto"/>
              <w:jc w:val="left"/>
            </w:pPr>
            <w:r>
              <w:rPr>
                <w:b w:val="0"/>
                <w:sz w:val="20"/>
              </w:rPr>
              <w:t>场地平整；地面走线、配重式灯杆和可拆卸构造。</w:t>
            </w:r>
          </w:p>
        </w:tc>
        <w:tc>
          <w:tcPr>
            <w:tcW w:type="dxa" w:w="4252"/>
            <w:vAlign w:val="center"/>
            <w:shd w:fill="F7F9FA"/>
          </w:tcPr>
          <w:p>
            <w:pPr>
              <w:spacing w:after="0" w:line="264" w:lineRule="auto"/>
              <w:jc w:val="left"/>
            </w:pPr>
            <w:r>
              <w:rPr>
                <w:b w:val="0"/>
                <w:sz w:val="20"/>
              </w:rPr>
              <w:t>核实排水坡度、支承稳定、配重与连接、电气线路遇水保护及雨后检查条件。</w:t>
            </w:r>
          </w:p>
        </w:tc>
      </w:tr>
      <w:tr>
        <w:trPr>
          <w:cantSplit/>
        </w:trPr>
        <w:tc>
          <w:tcPr>
            <w:tcW w:type="dxa" w:w="1701"/>
            <w:vAlign w:val="center"/>
            <w:shd w:fill="FFFFFF"/>
          </w:tcPr>
          <w:p>
            <w:pPr>
              <w:spacing w:after="0" w:line="264" w:lineRule="auto"/>
              <w:jc w:val="center"/>
            </w:pPr>
            <w:r>
              <w:rPr>
                <w:b w:val="0"/>
                <w:sz w:val="20"/>
              </w:rPr>
              <w:t>运营与进度</w:t>
            </w:r>
          </w:p>
        </w:tc>
        <w:tc>
          <w:tcPr>
            <w:tcW w:type="dxa" w:w="3685"/>
            <w:vAlign w:val="center"/>
            <w:shd w:fill="FFFFFF"/>
          </w:tcPr>
          <w:p>
            <w:pPr>
              <w:spacing w:after="0" w:line="264" w:lineRule="auto"/>
              <w:jc w:val="left"/>
            </w:pPr>
            <w:r>
              <w:rPr>
                <w:b w:val="0"/>
                <w:sz w:val="20"/>
              </w:rPr>
              <w:t>日常预约、培训、赛事及公益活动；首批30—45天、整体约7个月；场地利用率假设60%。</w:t>
            </w:r>
          </w:p>
        </w:tc>
        <w:tc>
          <w:tcPr>
            <w:tcW w:type="dxa" w:w="4252"/>
            <w:vAlign w:val="center"/>
            <w:shd w:fill="FFFFFF"/>
          </w:tcPr>
          <w:p>
            <w:pPr>
              <w:spacing w:after="0" w:line="264" w:lineRule="auto"/>
              <w:jc w:val="left"/>
            </w:pPr>
            <w:r>
              <w:rPr>
                <w:b w:val="0"/>
                <w:sz w:val="20"/>
              </w:rPr>
              <w:t>区分业态与开放批次，明确时间起算点、利用率分母和天气调整口径。</w:t>
            </w:r>
          </w:p>
        </w:tc>
      </w:tr>
    </w:tbl>
    <w:p>
      <w:pPr>
        <w:pStyle w:val="Heading2"/>
      </w:pPr>
      <w:r>
        <w:t>应由森兰和设计方确认的四项输入</w:t>
      </w:r>
    </w:p>
    <w:p>
      <w:r>
        <w:rPr>
          <w:b/>
        </w:rPr>
        <w:t xml:space="preserve">场地总图。 </w:t>
      </w:r>
      <w:r>
        <w:t>标明18片匹克球场和6块网球场的具体位置、棚体边界、比赛与训练分区、主要通道及服务设施。</w:t>
      </w:r>
    </w:p>
    <w:p>
      <w:r>
        <w:rPr>
          <w:b/>
        </w:rPr>
        <w:t xml:space="preserve">篷房构造。 </w:t>
      </w:r>
      <w:r>
        <w:t>提供屋面材料、透光与热工信息、侧幕开闭状态、雨水系统、支承与配重方案，以及正常使用和停止使用的条件。不同开闭状态应分别核查。</w:t>
      </w:r>
    </w:p>
    <w:p>
      <w:r>
        <w:rPr>
          <w:b/>
        </w:rPr>
        <w:t xml:space="preserve">竖向与排水。 </w:t>
      </w:r>
      <w:r>
        <w:t>提案的“全平地”是总体使用布局目标，不能理解为所有表面绝对水平。球场、停车和通道仍需满足各自的排水和平整度要求。</w:t>
      </w:r>
    </w:p>
    <w:p>
      <w:r>
        <w:rPr>
          <w:b/>
        </w:rPr>
        <w:t xml:space="preserve">开放范围。 </w:t>
      </w:r>
      <w:r>
        <w:t>明确首批投用哪些球场及配套、可接待人数、可用避难地点和营业时段，避免只以篷房安装完成作为开业条件。</w:t>
      </w:r>
    </w:p>
    <w:p>
      <w:r>
        <w:rPr>
          <w:b w:val="0"/>
          <w:sz w:val="20"/>
        </w:rPr>
        <w:t>气候报告不对提案中的“零破坏”“完全恢复”“拆卸回收率95%以上”等性能表述作验证，也不以此替代结构、排水及运营安全核查。</w:t>
      </w:r>
    </w:p>
    <w:p>
      <w:r>
        <w:br w:type="page"/>
      </w:r>
    </w:p>
    <w:p>
      <w:pPr>
        <w:pStyle w:val="Heading1"/>
      </w:pPr>
      <w:r>
        <w:t>三  逐月气候参考与季节判断</w:t>
      </w:r>
    </w:p>
    <w:p>
      <w:r>
        <w:rPr>
          <w:b w:val="0"/>
          <w:sz w:val="20"/>
        </w:rPr>
        <w:t>下表全部采用同一资料口径：沙坪坝国家气象站1991—2020年统计，来源为重庆市气候中心报告正文第35页表4-1。[3] 表中数值为区域参考，非南山项目地块实测。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90" w:type="dxa"/>
          <w:right w:w="90" w:type="dxa"/>
        </w:tblCellMar>
      </w:tblPr>
      <w:tblGrid>
        <w:gridCol w:w="850"/>
        <w:gridCol w:w="1304"/>
        <w:gridCol w:w="1644"/>
        <w:gridCol w:w="1417"/>
        <w:gridCol w:w="1587"/>
        <w:gridCol w:w="1417"/>
        <w:gridCol w:w="1417"/>
      </w:tblGrid>
      <w:tr>
        <w:trPr>
          <w:cantSplit/>
          <w:tblHeader/>
        </w:trPr>
        <w:tc>
          <w:tcPr>
            <w:tcW w:type="dxa" w:w="850"/>
            <w:vAlign w:val="center"/>
            <w:shd w:fill="E7EEF2"/>
          </w:tcPr>
          <w:p>
            <w:pPr>
              <w:spacing w:after="0" w:line="264" w:lineRule="auto"/>
              <w:jc w:val="center"/>
            </w:pPr>
            <w:r>
              <w:rPr>
                <w:b/>
                <w:sz w:val="20"/>
              </w:rPr>
              <w:t>月份</w:t>
            </w:r>
          </w:p>
        </w:tc>
        <w:tc>
          <w:tcPr>
            <w:tcW w:type="dxa" w:w="1304"/>
            <w:vAlign w:val="center"/>
            <w:shd w:fill="E7EEF2"/>
          </w:tcPr>
          <w:p>
            <w:pPr>
              <w:spacing w:after="0" w:line="264" w:lineRule="auto"/>
              <w:jc w:val="center"/>
            </w:pPr>
            <w:r>
              <w:rPr>
                <w:b/>
                <w:sz w:val="20"/>
              </w:rPr>
              <w:t>均温</w:t>
              <w:br/>
              <w:t>℃</w:t>
            </w:r>
          </w:p>
        </w:tc>
        <w:tc>
          <w:tcPr>
            <w:tcW w:type="dxa" w:w="1644"/>
            <w:vAlign w:val="center"/>
            <w:shd w:fill="E7EEF2"/>
          </w:tcPr>
          <w:p>
            <w:pPr>
              <w:spacing w:after="0" w:line="264" w:lineRule="auto"/>
              <w:jc w:val="center"/>
            </w:pPr>
            <w:r>
              <w:rPr>
                <w:b/>
                <w:sz w:val="20"/>
              </w:rPr>
              <w:t>降水</w:t>
              <w:br/>
              <w:t>毫米</w:t>
            </w:r>
          </w:p>
        </w:tc>
        <w:tc>
          <w:tcPr>
            <w:tcW w:type="dxa" w:w="1417"/>
            <w:vAlign w:val="center"/>
            <w:shd w:fill="E7EEF2"/>
          </w:tcPr>
          <w:p>
            <w:pPr>
              <w:spacing w:after="0" w:line="264" w:lineRule="auto"/>
              <w:jc w:val="center"/>
            </w:pPr>
            <w:r>
              <w:rPr>
                <w:b/>
                <w:sz w:val="20"/>
              </w:rPr>
              <w:t>降水日</w:t>
              <w:br/>
              <w:t>天</w:t>
            </w:r>
          </w:p>
        </w:tc>
        <w:tc>
          <w:tcPr>
            <w:tcW w:type="dxa" w:w="1587"/>
            <w:vAlign w:val="center"/>
            <w:shd w:fill="E7EEF2"/>
          </w:tcPr>
          <w:p>
            <w:pPr>
              <w:spacing w:after="0" w:line="264" w:lineRule="auto"/>
              <w:jc w:val="center"/>
            </w:pPr>
            <w:r>
              <w:rPr>
                <w:b/>
                <w:sz w:val="20"/>
              </w:rPr>
              <w:t>日照</w:t>
              <w:br/>
              <w:t>小时</w:t>
            </w:r>
          </w:p>
        </w:tc>
        <w:tc>
          <w:tcPr>
            <w:tcW w:type="dxa" w:w="1417"/>
            <w:vAlign w:val="center"/>
            <w:shd w:fill="E7EEF2"/>
          </w:tcPr>
          <w:p>
            <w:pPr>
              <w:spacing w:after="0" w:line="264" w:lineRule="auto"/>
              <w:jc w:val="center"/>
            </w:pPr>
            <w:r>
              <w:rPr>
                <w:b/>
                <w:sz w:val="20"/>
              </w:rPr>
              <w:t>湿度</w:t>
              <w:br/>
              <w:t>%</w:t>
            </w:r>
          </w:p>
        </w:tc>
        <w:tc>
          <w:tcPr>
            <w:tcW w:type="dxa" w:w="1417"/>
            <w:vAlign w:val="center"/>
            <w:shd w:fill="E7EEF2"/>
          </w:tcPr>
          <w:p>
            <w:pPr>
              <w:spacing w:after="0" w:line="264" w:lineRule="auto"/>
              <w:jc w:val="center"/>
            </w:pPr>
            <w:r>
              <w:rPr>
                <w:b/>
                <w:sz w:val="20"/>
              </w:rPr>
              <w:t>风速</w:t>
              <w:br/>
              <w:t>米/秒</w:t>
            </w:r>
          </w:p>
        </w:tc>
      </w:tr>
      <w:tr>
        <w:trPr>
          <w:cantSplit/>
        </w:trPr>
        <w:tc>
          <w:tcPr>
            <w:tcW w:type="dxa" w:w="850"/>
            <w:vAlign w:val="center"/>
            <w:shd w:fill="FFFFFF"/>
          </w:tcPr>
          <w:p>
            <w:pPr>
              <w:spacing w:after="0" w:line="264" w:lineRule="auto"/>
              <w:jc w:val="center"/>
            </w:pPr>
            <w:r>
              <w:rPr>
                <w:b w:val="0"/>
                <w:sz w:val="20"/>
              </w:rPr>
              <w:t>1月</w:t>
            </w:r>
          </w:p>
        </w:tc>
        <w:tc>
          <w:tcPr>
            <w:tcW w:type="dxa" w:w="1304"/>
            <w:vAlign w:val="center"/>
            <w:shd w:fill="FFFFFF"/>
          </w:tcPr>
          <w:p>
            <w:pPr>
              <w:spacing w:after="0" w:line="264" w:lineRule="auto"/>
              <w:jc w:val="center"/>
            </w:pPr>
            <w:r>
              <w:rPr>
                <w:b w:val="0"/>
                <w:sz w:val="20"/>
              </w:rPr>
              <w:t>8.1</w:t>
            </w:r>
          </w:p>
        </w:tc>
        <w:tc>
          <w:tcPr>
            <w:tcW w:type="dxa" w:w="1644"/>
            <w:vAlign w:val="center"/>
            <w:shd w:fill="FFFFFF"/>
          </w:tcPr>
          <w:p>
            <w:pPr>
              <w:spacing w:after="0" w:line="264" w:lineRule="auto"/>
              <w:jc w:val="center"/>
            </w:pPr>
            <w:r>
              <w:rPr>
                <w:b w:val="0"/>
                <w:sz w:val="20"/>
              </w:rPr>
              <w:t>20.7</w:t>
            </w:r>
          </w:p>
        </w:tc>
        <w:tc>
          <w:tcPr>
            <w:tcW w:type="dxa" w:w="1417"/>
            <w:vAlign w:val="center"/>
            <w:shd w:fill="FFFFFF"/>
          </w:tcPr>
          <w:p>
            <w:pPr>
              <w:spacing w:after="0" w:line="264" w:lineRule="auto"/>
              <w:jc w:val="center"/>
            </w:pPr>
            <w:r>
              <w:rPr>
                <w:b w:val="0"/>
                <w:sz w:val="20"/>
              </w:rPr>
              <w:t>9.9</w:t>
            </w:r>
          </w:p>
        </w:tc>
        <w:tc>
          <w:tcPr>
            <w:tcW w:type="dxa" w:w="1587"/>
            <w:vAlign w:val="center"/>
            <w:shd w:fill="FFFFFF"/>
          </w:tcPr>
          <w:p>
            <w:pPr>
              <w:spacing w:after="0" w:line="264" w:lineRule="auto"/>
              <w:jc w:val="center"/>
            </w:pPr>
            <w:r>
              <w:rPr>
                <w:b w:val="0"/>
                <w:sz w:val="20"/>
              </w:rPr>
              <w:t>16.6</w:t>
            </w:r>
          </w:p>
        </w:tc>
        <w:tc>
          <w:tcPr>
            <w:tcW w:type="dxa" w:w="1417"/>
            <w:vAlign w:val="center"/>
            <w:shd w:fill="FFFFFF"/>
          </w:tcPr>
          <w:p>
            <w:pPr>
              <w:spacing w:after="0" w:line="264" w:lineRule="auto"/>
              <w:jc w:val="center"/>
            </w:pPr>
            <w:r>
              <w:rPr>
                <w:b w:val="0"/>
                <w:sz w:val="20"/>
              </w:rPr>
              <w:t>81.7</w:t>
            </w:r>
          </w:p>
        </w:tc>
        <w:tc>
          <w:tcPr>
            <w:tcW w:type="dxa" w:w="1417"/>
            <w:vAlign w:val="center"/>
            <w:shd w:fill="FFFFFF"/>
          </w:tcPr>
          <w:p>
            <w:pPr>
              <w:spacing w:after="0" w:line="264" w:lineRule="auto"/>
              <w:jc w:val="center"/>
            </w:pPr>
            <w:r>
              <w:rPr>
                <w:b w:val="0"/>
                <w:sz w:val="20"/>
              </w:rPr>
              <w:t>1.2</w:t>
            </w:r>
          </w:p>
        </w:tc>
      </w:tr>
      <w:tr>
        <w:trPr>
          <w:cantSplit/>
        </w:trPr>
        <w:tc>
          <w:tcPr>
            <w:tcW w:type="dxa" w:w="850"/>
            <w:vAlign w:val="center"/>
            <w:shd w:fill="F7F9FA"/>
          </w:tcPr>
          <w:p>
            <w:pPr>
              <w:spacing w:after="0" w:line="264" w:lineRule="auto"/>
              <w:jc w:val="center"/>
            </w:pPr>
            <w:r>
              <w:rPr>
                <w:b w:val="0"/>
                <w:sz w:val="20"/>
              </w:rPr>
              <w:t>2月</w:t>
            </w:r>
          </w:p>
        </w:tc>
        <w:tc>
          <w:tcPr>
            <w:tcW w:type="dxa" w:w="1304"/>
            <w:vAlign w:val="center"/>
            <w:shd w:fill="F7F9FA"/>
          </w:tcPr>
          <w:p>
            <w:pPr>
              <w:spacing w:after="0" w:line="264" w:lineRule="auto"/>
              <w:jc w:val="center"/>
            </w:pPr>
            <w:r>
              <w:rPr>
                <w:b w:val="0"/>
                <w:sz w:val="20"/>
              </w:rPr>
              <w:t>10.4</w:t>
            </w:r>
          </w:p>
        </w:tc>
        <w:tc>
          <w:tcPr>
            <w:tcW w:type="dxa" w:w="1644"/>
            <w:vAlign w:val="center"/>
            <w:shd w:fill="F7F9FA"/>
          </w:tcPr>
          <w:p>
            <w:pPr>
              <w:spacing w:after="0" w:line="264" w:lineRule="auto"/>
              <w:jc w:val="center"/>
            </w:pPr>
            <w:r>
              <w:rPr>
                <w:b w:val="0"/>
                <w:sz w:val="20"/>
              </w:rPr>
              <w:t>22.4</w:t>
            </w:r>
          </w:p>
        </w:tc>
        <w:tc>
          <w:tcPr>
            <w:tcW w:type="dxa" w:w="1417"/>
            <w:vAlign w:val="center"/>
            <w:shd w:fill="F7F9FA"/>
          </w:tcPr>
          <w:p>
            <w:pPr>
              <w:spacing w:after="0" w:line="264" w:lineRule="auto"/>
              <w:jc w:val="center"/>
            </w:pPr>
            <w:r>
              <w:rPr>
                <w:b w:val="0"/>
                <w:sz w:val="20"/>
              </w:rPr>
              <w:t>8.9</w:t>
            </w:r>
          </w:p>
        </w:tc>
        <w:tc>
          <w:tcPr>
            <w:tcW w:type="dxa" w:w="1587"/>
            <w:vAlign w:val="center"/>
            <w:shd w:fill="F7F9FA"/>
          </w:tcPr>
          <w:p>
            <w:pPr>
              <w:spacing w:after="0" w:line="264" w:lineRule="auto"/>
              <w:jc w:val="center"/>
            </w:pPr>
            <w:r>
              <w:rPr>
                <w:b w:val="0"/>
                <w:sz w:val="20"/>
              </w:rPr>
              <w:t>33.1</w:t>
            </w:r>
          </w:p>
        </w:tc>
        <w:tc>
          <w:tcPr>
            <w:tcW w:type="dxa" w:w="1417"/>
            <w:vAlign w:val="center"/>
            <w:shd w:fill="F7F9FA"/>
          </w:tcPr>
          <w:p>
            <w:pPr>
              <w:spacing w:after="0" w:line="264" w:lineRule="auto"/>
              <w:jc w:val="center"/>
            </w:pPr>
            <w:r>
              <w:rPr>
                <w:b w:val="0"/>
                <w:sz w:val="20"/>
              </w:rPr>
              <w:t>77.7</w:t>
            </w:r>
          </w:p>
        </w:tc>
        <w:tc>
          <w:tcPr>
            <w:tcW w:type="dxa" w:w="1417"/>
            <w:vAlign w:val="center"/>
            <w:shd w:fill="F7F9FA"/>
          </w:tcPr>
          <w:p>
            <w:pPr>
              <w:spacing w:after="0" w:line="264" w:lineRule="auto"/>
              <w:jc w:val="center"/>
            </w:pPr>
            <w:r>
              <w:rPr>
                <w:b w:val="0"/>
                <w:sz w:val="20"/>
              </w:rPr>
              <w:t>1.3</w:t>
            </w:r>
          </w:p>
        </w:tc>
      </w:tr>
      <w:tr>
        <w:trPr>
          <w:cantSplit/>
        </w:trPr>
        <w:tc>
          <w:tcPr>
            <w:tcW w:type="dxa" w:w="850"/>
            <w:vAlign w:val="center"/>
            <w:shd w:fill="FFFFFF"/>
          </w:tcPr>
          <w:p>
            <w:pPr>
              <w:spacing w:after="0" w:line="264" w:lineRule="auto"/>
              <w:jc w:val="center"/>
            </w:pPr>
            <w:r>
              <w:rPr>
                <w:b w:val="0"/>
                <w:sz w:val="20"/>
              </w:rPr>
              <w:t>3月</w:t>
            </w:r>
          </w:p>
        </w:tc>
        <w:tc>
          <w:tcPr>
            <w:tcW w:type="dxa" w:w="1304"/>
            <w:vAlign w:val="center"/>
            <w:shd w:fill="FFFFFF"/>
          </w:tcPr>
          <w:p>
            <w:pPr>
              <w:spacing w:after="0" w:line="264" w:lineRule="auto"/>
              <w:jc w:val="center"/>
            </w:pPr>
            <w:r>
              <w:rPr>
                <w:b w:val="0"/>
                <w:sz w:val="20"/>
              </w:rPr>
              <w:t>14.5</w:t>
            </w:r>
          </w:p>
        </w:tc>
        <w:tc>
          <w:tcPr>
            <w:tcW w:type="dxa" w:w="1644"/>
            <w:vAlign w:val="center"/>
            <w:shd w:fill="FFFFFF"/>
          </w:tcPr>
          <w:p>
            <w:pPr>
              <w:spacing w:after="0" w:line="264" w:lineRule="auto"/>
              <w:jc w:val="center"/>
            </w:pPr>
            <w:r>
              <w:rPr>
                <w:b w:val="0"/>
                <w:sz w:val="20"/>
              </w:rPr>
              <w:t>55.6</w:t>
            </w:r>
          </w:p>
        </w:tc>
        <w:tc>
          <w:tcPr>
            <w:tcW w:type="dxa" w:w="1417"/>
            <w:vAlign w:val="center"/>
            <w:shd w:fill="FFFFFF"/>
          </w:tcPr>
          <w:p>
            <w:pPr>
              <w:spacing w:after="0" w:line="264" w:lineRule="auto"/>
              <w:jc w:val="center"/>
            </w:pPr>
            <w:r>
              <w:rPr>
                <w:b w:val="0"/>
                <w:sz w:val="20"/>
              </w:rPr>
              <w:t>11.5</w:t>
            </w:r>
          </w:p>
        </w:tc>
        <w:tc>
          <w:tcPr>
            <w:tcW w:type="dxa" w:w="1587"/>
            <w:vAlign w:val="center"/>
            <w:shd w:fill="FFFFFF"/>
          </w:tcPr>
          <w:p>
            <w:pPr>
              <w:spacing w:after="0" w:line="264" w:lineRule="auto"/>
              <w:jc w:val="center"/>
            </w:pPr>
            <w:r>
              <w:rPr>
                <w:b w:val="0"/>
                <w:sz w:val="20"/>
              </w:rPr>
              <w:t>72.9</w:t>
            </w:r>
          </w:p>
        </w:tc>
        <w:tc>
          <w:tcPr>
            <w:tcW w:type="dxa" w:w="1417"/>
            <w:vAlign w:val="center"/>
            <w:shd w:fill="FFFFFF"/>
          </w:tcPr>
          <w:p>
            <w:pPr>
              <w:spacing w:after="0" w:line="264" w:lineRule="auto"/>
              <w:jc w:val="center"/>
            </w:pPr>
            <w:r>
              <w:rPr>
                <w:b w:val="0"/>
                <w:sz w:val="20"/>
              </w:rPr>
              <w:t>74.5</w:t>
            </w:r>
          </w:p>
        </w:tc>
        <w:tc>
          <w:tcPr>
            <w:tcW w:type="dxa" w:w="1417"/>
            <w:vAlign w:val="center"/>
            <w:shd w:fill="FFFFFF"/>
          </w:tcPr>
          <w:p>
            <w:pPr>
              <w:spacing w:after="0" w:line="264" w:lineRule="auto"/>
              <w:jc w:val="center"/>
            </w:pPr>
            <w:r>
              <w:rPr>
                <w:b w:val="0"/>
                <w:sz w:val="20"/>
              </w:rPr>
              <w:t>1.5</w:t>
            </w:r>
          </w:p>
        </w:tc>
      </w:tr>
      <w:tr>
        <w:trPr>
          <w:cantSplit/>
        </w:trPr>
        <w:tc>
          <w:tcPr>
            <w:tcW w:type="dxa" w:w="850"/>
            <w:vAlign w:val="center"/>
            <w:shd w:fill="F7F9FA"/>
          </w:tcPr>
          <w:p>
            <w:pPr>
              <w:spacing w:after="0" w:line="264" w:lineRule="auto"/>
              <w:jc w:val="center"/>
            </w:pPr>
            <w:r>
              <w:rPr>
                <w:b w:val="0"/>
                <w:sz w:val="20"/>
              </w:rPr>
              <w:t>4月</w:t>
            </w:r>
          </w:p>
        </w:tc>
        <w:tc>
          <w:tcPr>
            <w:tcW w:type="dxa" w:w="1304"/>
            <w:vAlign w:val="center"/>
            <w:shd w:fill="F7F9FA"/>
          </w:tcPr>
          <w:p>
            <w:pPr>
              <w:spacing w:after="0" w:line="264" w:lineRule="auto"/>
              <w:jc w:val="center"/>
            </w:pPr>
            <w:r>
              <w:rPr>
                <w:b w:val="0"/>
                <w:sz w:val="20"/>
              </w:rPr>
              <w:t>19.2</w:t>
            </w:r>
          </w:p>
        </w:tc>
        <w:tc>
          <w:tcPr>
            <w:tcW w:type="dxa" w:w="1644"/>
            <w:vAlign w:val="center"/>
            <w:shd w:fill="F7F9FA"/>
          </w:tcPr>
          <w:p>
            <w:pPr>
              <w:spacing w:after="0" w:line="264" w:lineRule="auto"/>
              <w:jc w:val="center"/>
            </w:pPr>
            <w:r>
              <w:rPr>
                <w:b w:val="0"/>
                <w:sz w:val="20"/>
              </w:rPr>
              <w:t>103.6</w:t>
            </w:r>
          </w:p>
        </w:tc>
        <w:tc>
          <w:tcPr>
            <w:tcW w:type="dxa" w:w="1417"/>
            <w:vAlign w:val="center"/>
            <w:shd w:fill="F7F9FA"/>
          </w:tcPr>
          <w:p>
            <w:pPr>
              <w:spacing w:after="0" w:line="264" w:lineRule="auto"/>
              <w:jc w:val="center"/>
            </w:pPr>
            <w:r>
              <w:rPr>
                <w:b w:val="0"/>
                <w:sz w:val="20"/>
              </w:rPr>
              <w:t>13.6</w:t>
            </w:r>
          </w:p>
        </w:tc>
        <w:tc>
          <w:tcPr>
            <w:tcW w:type="dxa" w:w="1587"/>
            <w:vAlign w:val="center"/>
            <w:shd w:fill="F7F9FA"/>
          </w:tcPr>
          <w:p>
            <w:pPr>
              <w:spacing w:after="0" w:line="264" w:lineRule="auto"/>
              <w:jc w:val="center"/>
            </w:pPr>
            <w:r>
              <w:rPr>
                <w:b w:val="0"/>
                <w:sz w:val="20"/>
              </w:rPr>
              <w:t>105.8</w:t>
            </w:r>
          </w:p>
        </w:tc>
        <w:tc>
          <w:tcPr>
            <w:tcW w:type="dxa" w:w="1417"/>
            <w:vAlign w:val="center"/>
            <w:shd w:fill="F7F9FA"/>
          </w:tcPr>
          <w:p>
            <w:pPr>
              <w:spacing w:after="0" w:line="264" w:lineRule="auto"/>
              <w:jc w:val="center"/>
            </w:pPr>
            <w:r>
              <w:rPr>
                <w:b w:val="0"/>
                <w:sz w:val="20"/>
              </w:rPr>
              <w:t>74.9</w:t>
            </w:r>
          </w:p>
        </w:tc>
        <w:tc>
          <w:tcPr>
            <w:tcW w:type="dxa" w:w="1417"/>
            <w:vAlign w:val="center"/>
            <w:shd w:fill="F7F9FA"/>
          </w:tcPr>
          <w:p>
            <w:pPr>
              <w:spacing w:after="0" w:line="264" w:lineRule="auto"/>
              <w:jc w:val="center"/>
            </w:pPr>
            <w:r>
              <w:rPr>
                <w:b w:val="0"/>
                <w:sz w:val="20"/>
              </w:rPr>
              <w:t>1.5</w:t>
            </w:r>
          </w:p>
        </w:tc>
      </w:tr>
      <w:tr>
        <w:trPr>
          <w:cantSplit/>
        </w:trPr>
        <w:tc>
          <w:tcPr>
            <w:tcW w:type="dxa" w:w="850"/>
            <w:vAlign w:val="center"/>
            <w:shd w:fill="FFFFFF"/>
          </w:tcPr>
          <w:p>
            <w:pPr>
              <w:spacing w:after="0" w:line="264" w:lineRule="auto"/>
              <w:jc w:val="center"/>
            </w:pPr>
            <w:r>
              <w:rPr>
                <w:b w:val="0"/>
                <w:sz w:val="20"/>
              </w:rPr>
              <w:t>5月</w:t>
            </w:r>
          </w:p>
        </w:tc>
        <w:tc>
          <w:tcPr>
            <w:tcW w:type="dxa" w:w="1304"/>
            <w:vAlign w:val="center"/>
            <w:shd w:fill="FFFFFF"/>
          </w:tcPr>
          <w:p>
            <w:pPr>
              <w:spacing w:after="0" w:line="264" w:lineRule="auto"/>
              <w:jc w:val="center"/>
            </w:pPr>
            <w:r>
              <w:rPr>
                <w:b w:val="0"/>
                <w:sz w:val="20"/>
              </w:rPr>
              <w:t>22.6</w:t>
            </w:r>
          </w:p>
        </w:tc>
        <w:tc>
          <w:tcPr>
            <w:tcW w:type="dxa" w:w="1644"/>
            <w:vAlign w:val="center"/>
            <w:shd w:fill="FFFFFF"/>
          </w:tcPr>
          <w:p>
            <w:pPr>
              <w:spacing w:after="0" w:line="264" w:lineRule="auto"/>
              <w:jc w:val="center"/>
            </w:pPr>
            <w:r>
              <w:rPr>
                <w:b w:val="0"/>
                <w:sz w:val="20"/>
              </w:rPr>
              <w:t>142.5</w:t>
            </w:r>
          </w:p>
        </w:tc>
        <w:tc>
          <w:tcPr>
            <w:tcW w:type="dxa" w:w="1417"/>
            <w:vAlign w:val="center"/>
            <w:shd w:fill="FFFFFF"/>
          </w:tcPr>
          <w:p>
            <w:pPr>
              <w:spacing w:after="0" w:line="264" w:lineRule="auto"/>
              <w:jc w:val="center"/>
            </w:pPr>
            <w:r>
              <w:rPr>
                <w:b w:val="0"/>
                <w:sz w:val="20"/>
              </w:rPr>
              <w:t>16.0</w:t>
            </w:r>
          </w:p>
        </w:tc>
        <w:tc>
          <w:tcPr>
            <w:tcW w:type="dxa" w:w="1587"/>
            <w:vAlign w:val="center"/>
            <w:shd w:fill="FFFFFF"/>
          </w:tcPr>
          <w:p>
            <w:pPr>
              <w:spacing w:after="0" w:line="264" w:lineRule="auto"/>
              <w:jc w:val="center"/>
            </w:pPr>
            <w:r>
              <w:rPr>
                <w:b w:val="0"/>
                <w:sz w:val="20"/>
              </w:rPr>
              <w:t>108.4</w:t>
            </w:r>
          </w:p>
        </w:tc>
        <w:tc>
          <w:tcPr>
            <w:tcW w:type="dxa" w:w="1417"/>
            <w:vAlign w:val="center"/>
            <w:shd w:fill="FFFFFF"/>
          </w:tcPr>
          <w:p>
            <w:pPr>
              <w:spacing w:after="0" w:line="264" w:lineRule="auto"/>
              <w:jc w:val="center"/>
            </w:pPr>
            <w:r>
              <w:rPr>
                <w:b w:val="0"/>
                <w:sz w:val="20"/>
              </w:rPr>
              <w:t>75.8</w:t>
            </w:r>
          </w:p>
        </w:tc>
        <w:tc>
          <w:tcPr>
            <w:tcW w:type="dxa" w:w="1417"/>
            <w:vAlign w:val="center"/>
            <w:shd w:fill="FFFFFF"/>
          </w:tcPr>
          <w:p>
            <w:pPr>
              <w:spacing w:after="0" w:line="264" w:lineRule="auto"/>
              <w:jc w:val="center"/>
            </w:pPr>
            <w:r>
              <w:rPr>
                <w:b w:val="0"/>
                <w:sz w:val="20"/>
              </w:rPr>
              <w:t>1.5</w:t>
            </w:r>
          </w:p>
        </w:tc>
      </w:tr>
      <w:tr>
        <w:trPr>
          <w:cantSplit/>
        </w:trPr>
        <w:tc>
          <w:tcPr>
            <w:tcW w:type="dxa" w:w="850"/>
            <w:vAlign w:val="center"/>
            <w:shd w:fill="F7F9FA"/>
          </w:tcPr>
          <w:p>
            <w:pPr>
              <w:spacing w:after="0" w:line="264" w:lineRule="auto"/>
              <w:jc w:val="center"/>
            </w:pPr>
            <w:r>
              <w:rPr>
                <w:b w:val="0"/>
                <w:sz w:val="20"/>
              </w:rPr>
              <w:t>6月</w:t>
            </w:r>
          </w:p>
        </w:tc>
        <w:tc>
          <w:tcPr>
            <w:tcW w:type="dxa" w:w="1304"/>
            <w:vAlign w:val="center"/>
            <w:shd w:fill="F7F9FA"/>
          </w:tcPr>
          <w:p>
            <w:pPr>
              <w:spacing w:after="0" w:line="264" w:lineRule="auto"/>
              <w:jc w:val="center"/>
            </w:pPr>
            <w:r>
              <w:rPr>
                <w:b w:val="0"/>
                <w:sz w:val="20"/>
              </w:rPr>
              <w:t>25.4</w:t>
            </w:r>
          </w:p>
        </w:tc>
        <w:tc>
          <w:tcPr>
            <w:tcW w:type="dxa" w:w="1644"/>
            <w:vAlign w:val="center"/>
            <w:shd w:fill="F7F9FA"/>
          </w:tcPr>
          <w:p>
            <w:pPr>
              <w:spacing w:after="0" w:line="264" w:lineRule="auto"/>
              <w:jc w:val="center"/>
            </w:pPr>
            <w:r>
              <w:rPr>
                <w:b w:val="0"/>
                <w:sz w:val="20"/>
              </w:rPr>
              <w:t>212.1</w:t>
            </w:r>
          </w:p>
        </w:tc>
        <w:tc>
          <w:tcPr>
            <w:tcW w:type="dxa" w:w="1417"/>
            <w:vAlign w:val="center"/>
            <w:shd w:fill="F7F9FA"/>
          </w:tcPr>
          <w:p>
            <w:pPr>
              <w:spacing w:after="0" w:line="264" w:lineRule="auto"/>
              <w:jc w:val="center"/>
            </w:pPr>
            <w:r>
              <w:rPr>
                <w:b w:val="0"/>
                <w:sz w:val="20"/>
              </w:rPr>
              <w:t>16.0</w:t>
            </w:r>
          </w:p>
        </w:tc>
        <w:tc>
          <w:tcPr>
            <w:tcW w:type="dxa" w:w="1587"/>
            <w:vAlign w:val="center"/>
            <w:shd w:fill="F7F9FA"/>
          </w:tcPr>
          <w:p>
            <w:pPr>
              <w:spacing w:after="0" w:line="264" w:lineRule="auto"/>
              <w:jc w:val="center"/>
            </w:pPr>
            <w:r>
              <w:rPr>
                <w:b w:val="0"/>
                <w:sz w:val="20"/>
              </w:rPr>
              <w:t>98.6</w:t>
            </w:r>
          </w:p>
        </w:tc>
        <w:tc>
          <w:tcPr>
            <w:tcW w:type="dxa" w:w="1417"/>
            <w:vAlign w:val="center"/>
            <w:shd w:fill="F7F9FA"/>
          </w:tcPr>
          <w:p>
            <w:pPr>
              <w:spacing w:after="0" w:line="264" w:lineRule="auto"/>
              <w:jc w:val="center"/>
            </w:pPr>
            <w:r>
              <w:rPr>
                <w:b w:val="0"/>
                <w:sz w:val="20"/>
              </w:rPr>
              <w:t>79.4</w:t>
            </w:r>
          </w:p>
        </w:tc>
        <w:tc>
          <w:tcPr>
            <w:tcW w:type="dxa" w:w="1417"/>
            <w:vAlign w:val="center"/>
            <w:shd w:fill="F7F9FA"/>
          </w:tcPr>
          <w:p>
            <w:pPr>
              <w:spacing w:after="0" w:line="264" w:lineRule="auto"/>
              <w:jc w:val="center"/>
            </w:pPr>
            <w:r>
              <w:rPr>
                <w:b w:val="0"/>
                <w:sz w:val="20"/>
              </w:rPr>
              <w:t>1.4</w:t>
            </w:r>
          </w:p>
        </w:tc>
      </w:tr>
      <w:tr>
        <w:trPr>
          <w:cantSplit/>
        </w:trPr>
        <w:tc>
          <w:tcPr>
            <w:tcW w:type="dxa" w:w="850"/>
            <w:vAlign w:val="center"/>
            <w:shd w:fill="FFFFFF"/>
          </w:tcPr>
          <w:p>
            <w:pPr>
              <w:spacing w:after="0" w:line="264" w:lineRule="auto"/>
              <w:jc w:val="center"/>
            </w:pPr>
            <w:r>
              <w:rPr>
                <w:b w:val="0"/>
                <w:sz w:val="20"/>
              </w:rPr>
              <w:t>7月</w:t>
            </w:r>
          </w:p>
        </w:tc>
        <w:tc>
          <w:tcPr>
            <w:tcW w:type="dxa" w:w="1304"/>
            <w:vAlign w:val="center"/>
            <w:shd w:fill="FFFFFF"/>
          </w:tcPr>
          <w:p>
            <w:pPr>
              <w:spacing w:after="0" w:line="264" w:lineRule="auto"/>
              <w:jc w:val="center"/>
            </w:pPr>
            <w:r>
              <w:rPr>
                <w:b w:val="0"/>
                <w:sz w:val="20"/>
              </w:rPr>
              <w:t>28.9</w:t>
            </w:r>
          </w:p>
        </w:tc>
        <w:tc>
          <w:tcPr>
            <w:tcW w:type="dxa" w:w="1644"/>
            <w:vAlign w:val="center"/>
            <w:shd w:fill="FFFFFF"/>
          </w:tcPr>
          <w:p>
            <w:pPr>
              <w:spacing w:after="0" w:line="264" w:lineRule="auto"/>
              <w:jc w:val="center"/>
            </w:pPr>
            <w:r>
              <w:rPr>
                <w:b w:val="0"/>
                <w:sz w:val="20"/>
              </w:rPr>
              <w:t>174.0</w:t>
            </w:r>
          </w:p>
        </w:tc>
        <w:tc>
          <w:tcPr>
            <w:tcW w:type="dxa" w:w="1417"/>
            <w:vAlign w:val="center"/>
            <w:shd w:fill="FFFFFF"/>
          </w:tcPr>
          <w:p>
            <w:pPr>
              <w:spacing w:after="0" w:line="264" w:lineRule="auto"/>
              <w:jc w:val="center"/>
            </w:pPr>
            <w:r>
              <w:rPr>
                <w:b w:val="0"/>
                <w:sz w:val="20"/>
              </w:rPr>
              <w:t>11.3</w:t>
            </w:r>
          </w:p>
        </w:tc>
        <w:tc>
          <w:tcPr>
            <w:tcW w:type="dxa" w:w="1587"/>
            <w:vAlign w:val="center"/>
            <w:shd w:fill="FFFFFF"/>
          </w:tcPr>
          <w:p>
            <w:pPr>
              <w:spacing w:after="0" w:line="264" w:lineRule="auto"/>
              <w:jc w:val="center"/>
            </w:pPr>
            <w:r>
              <w:rPr>
                <w:b w:val="0"/>
                <w:sz w:val="20"/>
              </w:rPr>
              <w:t>169.1</w:t>
            </w:r>
          </w:p>
        </w:tc>
        <w:tc>
          <w:tcPr>
            <w:tcW w:type="dxa" w:w="1417"/>
            <w:vAlign w:val="center"/>
            <w:shd w:fill="FFFFFF"/>
          </w:tcPr>
          <w:p>
            <w:pPr>
              <w:spacing w:after="0" w:line="264" w:lineRule="auto"/>
              <w:jc w:val="center"/>
            </w:pPr>
            <w:r>
              <w:rPr>
                <w:b w:val="0"/>
                <w:sz w:val="20"/>
              </w:rPr>
              <w:t>72.7</w:t>
            </w:r>
          </w:p>
        </w:tc>
        <w:tc>
          <w:tcPr>
            <w:tcW w:type="dxa" w:w="1417"/>
            <w:vAlign w:val="center"/>
            <w:shd w:fill="FFFFFF"/>
          </w:tcPr>
          <w:p>
            <w:pPr>
              <w:spacing w:after="0" w:line="264" w:lineRule="auto"/>
              <w:jc w:val="center"/>
            </w:pPr>
            <w:r>
              <w:rPr>
                <w:b w:val="0"/>
                <w:sz w:val="20"/>
              </w:rPr>
              <w:t>1.6</w:t>
            </w:r>
          </w:p>
        </w:tc>
      </w:tr>
      <w:tr>
        <w:trPr>
          <w:cantSplit/>
        </w:trPr>
        <w:tc>
          <w:tcPr>
            <w:tcW w:type="dxa" w:w="850"/>
            <w:vAlign w:val="center"/>
            <w:shd w:fill="F7F9FA"/>
          </w:tcPr>
          <w:p>
            <w:pPr>
              <w:spacing w:after="0" w:line="264" w:lineRule="auto"/>
              <w:jc w:val="center"/>
            </w:pPr>
            <w:r>
              <w:rPr>
                <w:b w:val="0"/>
                <w:sz w:val="20"/>
              </w:rPr>
              <w:t>8月</w:t>
            </w:r>
          </w:p>
        </w:tc>
        <w:tc>
          <w:tcPr>
            <w:tcW w:type="dxa" w:w="1304"/>
            <w:vAlign w:val="center"/>
            <w:shd w:fill="F7F9FA"/>
          </w:tcPr>
          <w:p>
            <w:pPr>
              <w:spacing w:after="0" w:line="264" w:lineRule="auto"/>
              <w:jc w:val="center"/>
            </w:pPr>
            <w:r>
              <w:rPr>
                <w:b w:val="0"/>
                <w:sz w:val="20"/>
              </w:rPr>
              <w:t>28.9</w:t>
            </w:r>
          </w:p>
        </w:tc>
        <w:tc>
          <w:tcPr>
            <w:tcW w:type="dxa" w:w="1644"/>
            <w:vAlign w:val="center"/>
            <w:shd w:fill="F7F9FA"/>
          </w:tcPr>
          <w:p>
            <w:pPr>
              <w:spacing w:after="0" w:line="264" w:lineRule="auto"/>
              <w:jc w:val="center"/>
            </w:pPr>
            <w:r>
              <w:rPr>
                <w:b w:val="0"/>
                <w:sz w:val="20"/>
              </w:rPr>
              <w:t>125.6</w:t>
            </w:r>
          </w:p>
        </w:tc>
        <w:tc>
          <w:tcPr>
            <w:tcW w:type="dxa" w:w="1417"/>
            <w:vAlign w:val="center"/>
            <w:shd w:fill="F7F9FA"/>
          </w:tcPr>
          <w:p>
            <w:pPr>
              <w:spacing w:after="0" w:line="264" w:lineRule="auto"/>
              <w:jc w:val="center"/>
            </w:pPr>
            <w:r>
              <w:rPr>
                <w:b w:val="0"/>
                <w:sz w:val="20"/>
              </w:rPr>
              <w:t>11.5</w:t>
            </w:r>
          </w:p>
        </w:tc>
        <w:tc>
          <w:tcPr>
            <w:tcW w:type="dxa" w:w="1587"/>
            <w:vAlign w:val="center"/>
            <w:shd w:fill="F7F9FA"/>
          </w:tcPr>
          <w:p>
            <w:pPr>
              <w:spacing w:after="0" w:line="264" w:lineRule="auto"/>
              <w:jc w:val="center"/>
            </w:pPr>
            <w:r>
              <w:rPr>
                <w:b w:val="0"/>
                <w:sz w:val="20"/>
              </w:rPr>
              <w:t>175.0</w:t>
            </w:r>
          </w:p>
        </w:tc>
        <w:tc>
          <w:tcPr>
            <w:tcW w:type="dxa" w:w="1417"/>
            <w:vAlign w:val="center"/>
            <w:shd w:fill="F7F9FA"/>
          </w:tcPr>
          <w:p>
            <w:pPr>
              <w:spacing w:after="0" w:line="264" w:lineRule="auto"/>
              <w:jc w:val="center"/>
            </w:pPr>
            <w:r>
              <w:rPr>
                <w:b w:val="0"/>
                <w:sz w:val="20"/>
              </w:rPr>
              <w:t>69.8</w:t>
            </w:r>
          </w:p>
        </w:tc>
        <w:tc>
          <w:tcPr>
            <w:tcW w:type="dxa" w:w="1417"/>
            <w:vAlign w:val="center"/>
            <w:shd w:fill="F7F9FA"/>
          </w:tcPr>
          <w:p>
            <w:pPr>
              <w:spacing w:after="0" w:line="264" w:lineRule="auto"/>
              <w:jc w:val="center"/>
            </w:pPr>
            <w:r>
              <w:rPr>
                <w:b w:val="0"/>
                <w:sz w:val="20"/>
              </w:rPr>
              <w:t>1.6</w:t>
            </w:r>
          </w:p>
        </w:tc>
      </w:tr>
      <w:tr>
        <w:trPr>
          <w:cantSplit/>
        </w:trPr>
        <w:tc>
          <w:tcPr>
            <w:tcW w:type="dxa" w:w="850"/>
            <w:vAlign w:val="center"/>
            <w:shd w:fill="FFFFFF"/>
          </w:tcPr>
          <w:p>
            <w:pPr>
              <w:spacing w:after="0" w:line="264" w:lineRule="auto"/>
              <w:jc w:val="center"/>
            </w:pPr>
            <w:r>
              <w:rPr>
                <w:b w:val="0"/>
                <w:sz w:val="20"/>
              </w:rPr>
              <w:t>9月</w:t>
            </w:r>
          </w:p>
        </w:tc>
        <w:tc>
          <w:tcPr>
            <w:tcW w:type="dxa" w:w="1304"/>
            <w:vAlign w:val="center"/>
            <w:shd w:fill="FFFFFF"/>
          </w:tcPr>
          <w:p>
            <w:pPr>
              <w:spacing w:after="0" w:line="264" w:lineRule="auto"/>
              <w:jc w:val="center"/>
            </w:pPr>
            <w:r>
              <w:rPr>
                <w:b w:val="0"/>
                <w:sz w:val="20"/>
              </w:rPr>
              <w:t>24.3</w:t>
            </w:r>
          </w:p>
        </w:tc>
        <w:tc>
          <w:tcPr>
            <w:tcW w:type="dxa" w:w="1644"/>
            <w:vAlign w:val="center"/>
            <w:shd w:fill="FFFFFF"/>
          </w:tcPr>
          <w:p>
            <w:pPr>
              <w:spacing w:after="0" w:line="264" w:lineRule="auto"/>
              <w:jc w:val="center"/>
            </w:pPr>
            <w:r>
              <w:rPr>
                <w:b w:val="0"/>
                <w:sz w:val="20"/>
              </w:rPr>
              <w:t>124.7</w:t>
            </w:r>
          </w:p>
        </w:tc>
        <w:tc>
          <w:tcPr>
            <w:tcW w:type="dxa" w:w="1417"/>
            <w:vAlign w:val="center"/>
            <w:shd w:fill="FFFFFF"/>
          </w:tcPr>
          <w:p>
            <w:pPr>
              <w:spacing w:after="0" w:line="264" w:lineRule="auto"/>
              <w:jc w:val="center"/>
            </w:pPr>
            <w:r>
              <w:rPr>
                <w:b w:val="0"/>
                <w:sz w:val="20"/>
              </w:rPr>
              <w:t>12.6</w:t>
            </w:r>
          </w:p>
        </w:tc>
        <w:tc>
          <w:tcPr>
            <w:tcW w:type="dxa" w:w="1587"/>
            <w:vAlign w:val="center"/>
            <w:shd w:fill="FFFFFF"/>
          </w:tcPr>
          <w:p>
            <w:pPr>
              <w:spacing w:after="0" w:line="264" w:lineRule="auto"/>
              <w:jc w:val="center"/>
            </w:pPr>
            <w:r>
              <w:rPr>
                <w:b w:val="0"/>
                <w:sz w:val="20"/>
              </w:rPr>
              <w:t>100.4</w:t>
            </w:r>
          </w:p>
        </w:tc>
        <w:tc>
          <w:tcPr>
            <w:tcW w:type="dxa" w:w="1417"/>
            <w:vAlign w:val="center"/>
            <w:shd w:fill="FFFFFF"/>
          </w:tcPr>
          <w:p>
            <w:pPr>
              <w:spacing w:after="0" w:line="264" w:lineRule="auto"/>
              <w:jc w:val="center"/>
            </w:pPr>
            <w:r>
              <w:rPr>
                <w:b w:val="0"/>
                <w:sz w:val="20"/>
              </w:rPr>
              <w:t>77.3</w:t>
            </w:r>
          </w:p>
        </w:tc>
        <w:tc>
          <w:tcPr>
            <w:tcW w:type="dxa" w:w="1417"/>
            <w:vAlign w:val="center"/>
            <w:shd w:fill="FFFFFF"/>
          </w:tcPr>
          <w:p>
            <w:pPr>
              <w:spacing w:after="0" w:line="264" w:lineRule="auto"/>
              <w:jc w:val="center"/>
            </w:pPr>
            <w:r>
              <w:rPr>
                <w:b w:val="0"/>
                <w:sz w:val="20"/>
              </w:rPr>
              <w:t>1.5</w:t>
            </w:r>
          </w:p>
        </w:tc>
      </w:tr>
      <w:tr>
        <w:trPr>
          <w:cantSplit/>
        </w:trPr>
        <w:tc>
          <w:tcPr>
            <w:tcW w:type="dxa" w:w="850"/>
            <w:vAlign w:val="center"/>
            <w:shd w:fill="F7F9FA"/>
          </w:tcPr>
          <w:p>
            <w:pPr>
              <w:spacing w:after="0" w:line="264" w:lineRule="auto"/>
              <w:jc w:val="center"/>
            </w:pPr>
            <w:r>
              <w:rPr>
                <w:b w:val="0"/>
                <w:sz w:val="20"/>
              </w:rPr>
              <w:t>10月</w:t>
            </w:r>
          </w:p>
        </w:tc>
        <w:tc>
          <w:tcPr>
            <w:tcW w:type="dxa" w:w="1304"/>
            <w:vAlign w:val="center"/>
            <w:shd w:fill="F7F9FA"/>
          </w:tcPr>
          <w:p>
            <w:pPr>
              <w:spacing w:after="0" w:line="264" w:lineRule="auto"/>
              <w:jc w:val="center"/>
            </w:pPr>
            <w:r>
              <w:rPr>
                <w:b w:val="0"/>
                <w:sz w:val="20"/>
              </w:rPr>
              <w:t>18.9</w:t>
            </w:r>
          </w:p>
        </w:tc>
        <w:tc>
          <w:tcPr>
            <w:tcW w:type="dxa" w:w="1644"/>
            <w:vAlign w:val="center"/>
            <w:shd w:fill="F7F9FA"/>
          </w:tcPr>
          <w:p>
            <w:pPr>
              <w:spacing w:after="0" w:line="264" w:lineRule="auto"/>
              <w:jc w:val="center"/>
            </w:pPr>
            <w:r>
              <w:rPr>
                <w:b w:val="0"/>
                <w:sz w:val="20"/>
              </w:rPr>
              <w:t>95.3</w:t>
            </w:r>
          </w:p>
        </w:tc>
        <w:tc>
          <w:tcPr>
            <w:tcW w:type="dxa" w:w="1417"/>
            <w:vAlign w:val="center"/>
            <w:shd w:fill="F7F9FA"/>
          </w:tcPr>
          <w:p>
            <w:pPr>
              <w:spacing w:after="0" w:line="264" w:lineRule="auto"/>
              <w:jc w:val="center"/>
            </w:pPr>
            <w:r>
              <w:rPr>
                <w:b w:val="0"/>
                <w:sz w:val="20"/>
              </w:rPr>
              <w:t>15.8</w:t>
            </w:r>
          </w:p>
        </w:tc>
        <w:tc>
          <w:tcPr>
            <w:tcW w:type="dxa" w:w="1587"/>
            <w:vAlign w:val="center"/>
            <w:shd w:fill="F7F9FA"/>
          </w:tcPr>
          <w:p>
            <w:pPr>
              <w:spacing w:after="0" w:line="264" w:lineRule="auto"/>
              <w:jc w:val="center"/>
            </w:pPr>
            <w:r>
              <w:rPr>
                <w:b w:val="0"/>
                <w:sz w:val="20"/>
              </w:rPr>
              <w:t>45.0</w:t>
            </w:r>
          </w:p>
        </w:tc>
        <w:tc>
          <w:tcPr>
            <w:tcW w:type="dxa" w:w="1417"/>
            <w:vAlign w:val="center"/>
            <w:shd w:fill="F7F9FA"/>
          </w:tcPr>
          <w:p>
            <w:pPr>
              <w:spacing w:after="0" w:line="264" w:lineRule="auto"/>
              <w:jc w:val="center"/>
            </w:pPr>
            <w:r>
              <w:rPr>
                <w:b w:val="0"/>
                <w:sz w:val="20"/>
              </w:rPr>
              <w:t>83.9</w:t>
            </w:r>
          </w:p>
        </w:tc>
        <w:tc>
          <w:tcPr>
            <w:tcW w:type="dxa" w:w="1417"/>
            <w:vAlign w:val="center"/>
            <w:shd w:fill="F7F9FA"/>
          </w:tcPr>
          <w:p>
            <w:pPr>
              <w:spacing w:after="0" w:line="264" w:lineRule="auto"/>
              <w:jc w:val="center"/>
            </w:pPr>
            <w:r>
              <w:rPr>
                <w:b w:val="0"/>
                <w:sz w:val="20"/>
              </w:rPr>
              <w:t>1.2</w:t>
            </w:r>
          </w:p>
        </w:tc>
      </w:tr>
      <w:tr>
        <w:trPr>
          <w:cantSplit/>
        </w:trPr>
        <w:tc>
          <w:tcPr>
            <w:tcW w:type="dxa" w:w="850"/>
            <w:vAlign w:val="center"/>
            <w:shd w:fill="FFFFFF"/>
          </w:tcPr>
          <w:p>
            <w:pPr>
              <w:spacing w:after="0" w:line="264" w:lineRule="auto"/>
              <w:jc w:val="center"/>
            </w:pPr>
            <w:r>
              <w:rPr>
                <w:b w:val="0"/>
                <w:sz w:val="20"/>
              </w:rPr>
              <w:t>11月</w:t>
            </w:r>
          </w:p>
        </w:tc>
        <w:tc>
          <w:tcPr>
            <w:tcW w:type="dxa" w:w="1304"/>
            <w:vAlign w:val="center"/>
            <w:shd w:fill="FFFFFF"/>
          </w:tcPr>
          <w:p>
            <w:pPr>
              <w:spacing w:after="0" w:line="264" w:lineRule="auto"/>
              <w:jc w:val="center"/>
            </w:pPr>
            <w:r>
              <w:rPr>
                <w:b w:val="0"/>
                <w:sz w:val="20"/>
              </w:rPr>
              <w:t>14.5</w:t>
            </w:r>
          </w:p>
        </w:tc>
        <w:tc>
          <w:tcPr>
            <w:tcW w:type="dxa" w:w="1644"/>
            <w:vAlign w:val="center"/>
            <w:shd w:fill="FFFFFF"/>
          </w:tcPr>
          <w:p>
            <w:pPr>
              <w:spacing w:after="0" w:line="264" w:lineRule="auto"/>
              <w:jc w:val="center"/>
            </w:pPr>
            <w:r>
              <w:rPr>
                <w:b w:val="0"/>
                <w:sz w:val="20"/>
              </w:rPr>
              <w:t>50.4</w:t>
            </w:r>
          </w:p>
        </w:tc>
        <w:tc>
          <w:tcPr>
            <w:tcW w:type="dxa" w:w="1417"/>
            <w:vAlign w:val="center"/>
            <w:shd w:fill="FFFFFF"/>
          </w:tcPr>
          <w:p>
            <w:pPr>
              <w:spacing w:after="0" w:line="264" w:lineRule="auto"/>
              <w:jc w:val="center"/>
            </w:pPr>
            <w:r>
              <w:rPr>
                <w:b w:val="0"/>
                <w:sz w:val="20"/>
              </w:rPr>
              <w:t>11.3</w:t>
            </w:r>
          </w:p>
        </w:tc>
        <w:tc>
          <w:tcPr>
            <w:tcW w:type="dxa" w:w="1587"/>
            <w:vAlign w:val="center"/>
            <w:shd w:fill="FFFFFF"/>
          </w:tcPr>
          <w:p>
            <w:pPr>
              <w:spacing w:after="0" w:line="264" w:lineRule="auto"/>
              <w:jc w:val="center"/>
            </w:pPr>
            <w:r>
              <w:rPr>
                <w:b w:val="0"/>
                <w:sz w:val="20"/>
              </w:rPr>
              <w:t>35.1</w:t>
            </w:r>
          </w:p>
        </w:tc>
        <w:tc>
          <w:tcPr>
            <w:tcW w:type="dxa" w:w="1417"/>
            <w:vAlign w:val="center"/>
            <w:shd w:fill="FFFFFF"/>
          </w:tcPr>
          <w:p>
            <w:pPr>
              <w:spacing w:after="0" w:line="264" w:lineRule="auto"/>
              <w:jc w:val="center"/>
            </w:pPr>
            <w:r>
              <w:rPr>
                <w:b w:val="0"/>
                <w:sz w:val="20"/>
              </w:rPr>
              <w:t>83.2</w:t>
            </w:r>
          </w:p>
        </w:tc>
        <w:tc>
          <w:tcPr>
            <w:tcW w:type="dxa" w:w="1417"/>
            <w:vAlign w:val="center"/>
            <w:shd w:fill="FFFFFF"/>
          </w:tcPr>
          <w:p>
            <w:pPr>
              <w:spacing w:after="0" w:line="264" w:lineRule="auto"/>
              <w:jc w:val="center"/>
            </w:pPr>
            <w:r>
              <w:rPr>
                <w:b w:val="0"/>
                <w:sz w:val="20"/>
              </w:rPr>
              <w:t>1.2</w:t>
            </w:r>
          </w:p>
        </w:tc>
      </w:tr>
      <w:tr>
        <w:trPr>
          <w:cantSplit/>
        </w:trPr>
        <w:tc>
          <w:tcPr>
            <w:tcW w:type="dxa" w:w="850"/>
            <w:vAlign w:val="center"/>
            <w:shd w:fill="F7F9FA"/>
          </w:tcPr>
          <w:p>
            <w:pPr>
              <w:spacing w:after="0" w:line="264" w:lineRule="auto"/>
              <w:jc w:val="center"/>
            </w:pPr>
            <w:r>
              <w:rPr>
                <w:b w:val="0"/>
                <w:sz w:val="20"/>
              </w:rPr>
              <w:t>12月</w:t>
            </w:r>
          </w:p>
        </w:tc>
        <w:tc>
          <w:tcPr>
            <w:tcW w:type="dxa" w:w="1304"/>
            <w:vAlign w:val="center"/>
            <w:shd w:fill="F7F9FA"/>
          </w:tcPr>
          <w:p>
            <w:pPr>
              <w:spacing w:after="0" w:line="264" w:lineRule="auto"/>
              <w:jc w:val="center"/>
            </w:pPr>
            <w:r>
              <w:rPr>
                <w:b w:val="0"/>
                <w:sz w:val="20"/>
              </w:rPr>
              <w:t>9.5</w:t>
            </w:r>
          </w:p>
        </w:tc>
        <w:tc>
          <w:tcPr>
            <w:tcW w:type="dxa" w:w="1644"/>
            <w:vAlign w:val="center"/>
            <w:shd w:fill="F7F9FA"/>
          </w:tcPr>
          <w:p>
            <w:pPr>
              <w:spacing w:after="0" w:line="264" w:lineRule="auto"/>
              <w:jc w:val="center"/>
            </w:pPr>
            <w:r>
              <w:rPr>
                <w:b w:val="0"/>
                <w:sz w:val="20"/>
              </w:rPr>
              <w:t>24.7</w:t>
            </w:r>
          </w:p>
        </w:tc>
        <w:tc>
          <w:tcPr>
            <w:tcW w:type="dxa" w:w="1417"/>
            <w:vAlign w:val="center"/>
            <w:shd w:fill="F7F9FA"/>
          </w:tcPr>
          <w:p>
            <w:pPr>
              <w:spacing w:after="0" w:line="264" w:lineRule="auto"/>
              <w:jc w:val="center"/>
            </w:pPr>
            <w:r>
              <w:rPr>
                <w:b w:val="0"/>
                <w:sz w:val="20"/>
              </w:rPr>
              <w:t>10.6</w:t>
            </w:r>
          </w:p>
        </w:tc>
        <w:tc>
          <w:tcPr>
            <w:tcW w:type="dxa" w:w="1587"/>
            <w:vAlign w:val="center"/>
            <w:shd w:fill="F7F9FA"/>
          </w:tcPr>
          <w:p>
            <w:pPr>
              <w:spacing w:after="0" w:line="264" w:lineRule="auto"/>
              <w:jc w:val="center"/>
            </w:pPr>
            <w:r>
              <w:rPr>
                <w:b w:val="0"/>
                <w:sz w:val="20"/>
              </w:rPr>
              <w:t>17.9</w:t>
            </w:r>
          </w:p>
        </w:tc>
        <w:tc>
          <w:tcPr>
            <w:tcW w:type="dxa" w:w="1417"/>
            <w:vAlign w:val="center"/>
            <w:shd w:fill="F7F9FA"/>
          </w:tcPr>
          <w:p>
            <w:pPr>
              <w:spacing w:after="0" w:line="264" w:lineRule="auto"/>
              <w:jc w:val="center"/>
            </w:pPr>
            <w:r>
              <w:rPr>
                <w:b w:val="0"/>
                <w:sz w:val="20"/>
              </w:rPr>
              <w:t>83.5</w:t>
            </w:r>
          </w:p>
        </w:tc>
        <w:tc>
          <w:tcPr>
            <w:tcW w:type="dxa" w:w="1417"/>
            <w:vAlign w:val="center"/>
            <w:shd w:fill="F7F9FA"/>
          </w:tcPr>
          <w:p>
            <w:pPr>
              <w:spacing w:after="0" w:line="264" w:lineRule="auto"/>
              <w:jc w:val="center"/>
            </w:pPr>
            <w:r>
              <w:rPr>
                <w:b w:val="0"/>
                <w:sz w:val="20"/>
              </w:rPr>
              <w:t>1.2</w:t>
            </w:r>
          </w:p>
        </w:tc>
      </w:tr>
      <w:tr>
        <w:trPr>
          <w:cantSplit/>
        </w:trPr>
        <w:tc>
          <w:tcPr>
            <w:tcW w:type="dxa" w:w="850"/>
            <w:vAlign w:val="center"/>
            <w:shd w:fill="FFFFFF"/>
          </w:tcPr>
          <w:p>
            <w:pPr>
              <w:spacing w:after="0" w:line="264" w:lineRule="auto"/>
              <w:jc w:val="center"/>
            </w:pPr>
            <w:r>
              <w:rPr>
                <w:b w:val="0"/>
                <w:sz w:val="20"/>
              </w:rPr>
              <w:t>全年</w:t>
            </w:r>
          </w:p>
        </w:tc>
        <w:tc>
          <w:tcPr>
            <w:tcW w:type="dxa" w:w="1304"/>
            <w:vAlign w:val="center"/>
            <w:shd w:fill="FFFFFF"/>
          </w:tcPr>
          <w:p>
            <w:pPr>
              <w:spacing w:after="0" w:line="264" w:lineRule="auto"/>
              <w:jc w:val="center"/>
            </w:pPr>
            <w:r>
              <w:rPr>
                <w:b w:val="0"/>
                <w:sz w:val="20"/>
              </w:rPr>
              <w:t>18.8</w:t>
            </w:r>
          </w:p>
        </w:tc>
        <w:tc>
          <w:tcPr>
            <w:tcW w:type="dxa" w:w="1644"/>
            <w:vAlign w:val="center"/>
            <w:shd w:fill="FFFFFF"/>
          </w:tcPr>
          <w:p>
            <w:pPr>
              <w:spacing w:after="0" w:line="264" w:lineRule="auto"/>
              <w:jc w:val="center"/>
            </w:pPr>
            <w:r>
              <w:rPr>
                <w:b w:val="0"/>
                <w:sz w:val="20"/>
              </w:rPr>
              <w:t>1151.6</w:t>
            </w:r>
          </w:p>
        </w:tc>
        <w:tc>
          <w:tcPr>
            <w:tcW w:type="dxa" w:w="1417"/>
            <w:vAlign w:val="center"/>
            <w:shd w:fill="FFFFFF"/>
          </w:tcPr>
          <w:p>
            <w:pPr>
              <w:spacing w:after="0" w:line="264" w:lineRule="auto"/>
              <w:jc w:val="center"/>
            </w:pPr>
            <w:r>
              <w:rPr>
                <w:b w:val="0"/>
                <w:sz w:val="20"/>
              </w:rPr>
              <w:t>149.0</w:t>
            </w:r>
          </w:p>
        </w:tc>
        <w:tc>
          <w:tcPr>
            <w:tcW w:type="dxa" w:w="1587"/>
            <w:vAlign w:val="center"/>
            <w:shd w:fill="FFFFFF"/>
          </w:tcPr>
          <w:p>
            <w:pPr>
              <w:spacing w:after="0" w:line="264" w:lineRule="auto"/>
              <w:jc w:val="center"/>
            </w:pPr>
            <w:r>
              <w:rPr>
                <w:b w:val="0"/>
                <w:sz w:val="20"/>
              </w:rPr>
              <w:t>977.9</w:t>
            </w:r>
          </w:p>
        </w:tc>
        <w:tc>
          <w:tcPr>
            <w:tcW w:type="dxa" w:w="1417"/>
            <w:vAlign w:val="center"/>
            <w:shd w:fill="FFFFFF"/>
          </w:tcPr>
          <w:p>
            <w:pPr>
              <w:spacing w:after="0" w:line="264" w:lineRule="auto"/>
              <w:jc w:val="center"/>
            </w:pPr>
            <w:r>
              <w:rPr>
                <w:b w:val="0"/>
                <w:sz w:val="20"/>
              </w:rPr>
              <w:t>77.9</w:t>
            </w:r>
          </w:p>
        </w:tc>
        <w:tc>
          <w:tcPr>
            <w:tcW w:type="dxa" w:w="1417"/>
            <w:vAlign w:val="center"/>
            <w:shd w:fill="FFFFFF"/>
          </w:tcPr>
          <w:p>
            <w:pPr>
              <w:spacing w:after="0" w:line="264" w:lineRule="auto"/>
              <w:jc w:val="center"/>
            </w:pPr>
            <w:r>
              <w:rPr>
                <w:b w:val="0"/>
                <w:sz w:val="20"/>
              </w:rPr>
              <w:t>1.4</w:t>
            </w:r>
          </w:p>
        </w:tc>
      </w:tr>
    </w:tbl>
    <w:p>
      <w:r>
        <w:rPr>
          <w:b w:val="0"/>
          <w:sz w:val="19"/>
        </w:rPr>
        <w:t>全年温度、湿度、风速为年均值；降水、降水日、日照为年统计量。月值四舍五入后加总可能与年值略有差异。月均温不代表午后最高温；日照时数不等于白昼长度、辐射强度或可营业小时；降水日不等于整天下雨。</w:t>
      </w:r>
    </w:p>
    <w:p>
      <w:pPr>
        <w:pStyle w:val="Heading2"/>
      </w:pPr>
      <w:r>
        <w:t>将数据转为项目判断</w:t>
      </w:r>
    </w:p>
    <w:p>
      <w:r>
        <w:rPr>
          <w:b/>
        </w:rPr>
        <w:t xml:space="preserve">5—9月重点保障排水。 </w:t>
      </w:r>
      <w:r>
        <w:t>区域同期降水量合计778.9毫米，约占全年67.6%（据表计算），与南山站公开转引的雨季分布方向一致。但两个统计口径不同，不能以总量差判断地块比沙坪坝少雨。</w:t>
      </w:r>
    </w:p>
    <w:p>
      <w:r>
        <w:rPr>
          <w:b/>
        </w:rPr>
        <w:t xml:space="preserve">7—8月同时面对炎热与降雨。 </w:t>
      </w:r>
      <w:r>
        <w:t>网球场若采用露天方案，午后课程会直接受日晒影响；拟篷房匹克球场也须实测棚下热环境，不能默认午后舒适。雨天还需确认棚边、通道与候场区可用。</w:t>
      </w:r>
    </w:p>
    <w:p>
      <w:r>
        <w:rPr>
          <w:b/>
        </w:rPr>
        <w:t xml:space="preserve">秋季不是稳定干燥窗口。 </w:t>
      </w:r>
      <w:r>
        <w:t>10月降水日较多、湿度高而日照减少，赛事须留改期空间；地面干燥时间可能受影响，应通过实际场地记录确认。</w:t>
      </w:r>
    </w:p>
    <w:p>
      <w:r>
        <w:rPr>
          <w:b/>
        </w:rPr>
        <w:t xml:space="preserve">冬季优先利用较明亮的日间。 </w:t>
      </w:r>
      <w:r>
        <w:t>在低温、少日照和较高湿度的组合下，晨间及阴影区需要检查湿滑。温度较低不必然意味着全天不可用，应保留按天气调整的日间课程。</w:t>
      </w:r>
    </w:p>
    <w:p>
      <w:r>
        <w:br w:type="page"/>
      </w:r>
    </w:p>
    <w:p>
      <w:pPr>
        <w:pStyle w:val="Heading1"/>
      </w:pPr>
      <w:r>
        <w:t>四  温度与热环境</w:t>
      </w:r>
    </w:p>
    <w:p>
      <w:pPr>
        <w:pStyle w:val="Heading2"/>
      </w:pPr>
      <w:r>
        <w:t>数据依据及运动影响</w:t>
      </w:r>
    </w:p>
    <w:p>
      <w:r>
        <w:rPr>
          <w:b w:val="0"/>
        </w:rPr>
        <w:t>区域7—8月月均温均为28.9℃，1月为8.1℃。[3] 重庆市气象局记录，2025年5月1日至7月29日中心城区37℃以上高温日数20天，常年同期7天。[4] 这是一段历史区域观测，提示应检验炎热年份的经营安排，不能当作南山地块高温日数或未来预报。</w:t>
      </w:r>
    </w:p>
    <w:p>
      <w:r>
        <w:rPr>
          <w:b w:val="0"/>
        </w:rPr>
        <w:t>运动热负荷由气温、湿度、太阳辐射、风和活动强度共同决定。[6] 温湿度仪读数相同，暴晒球场与通风阴影区的体感仍可能不同；气温低于某个值也不代表适合长时间高强度训练。寒冷、湿滑和风叠加时，也应减少长时间候场。</w:t>
      </w:r>
    </w:p>
    <w:p>
      <w:pPr>
        <w:pStyle w:val="Heading2"/>
      </w:pPr>
      <w:r>
        <w:t>规划和建设建议</w:t>
      </w:r>
    </w:p>
    <w:p>
      <w:r>
        <w:rPr>
          <w:b/>
        </w:rPr>
        <w:t xml:space="preserve">把休息补水纳入动线。 </w:t>
      </w:r>
      <w:r>
        <w:t>候场、观赛和饮水点应能便利到达并优先遮阳，避免人员休息时仍持续暴晒。结合实际客容量核定遮阳休息空间，避免只给场地加棚而没有可用的候场区。</w:t>
      </w:r>
    </w:p>
    <w:p>
      <w:r>
        <w:rPr>
          <w:b/>
        </w:rPr>
        <w:t xml:space="preserve">用样板比较热环境。 </w:t>
      </w:r>
      <w:r>
        <w:t>在同一时段比较候选面层的表面温度、反光、脚感和球路识别；浅色不一定在眩光和辨球上更优，深色也不应仅因视觉效果被选定。温度实测用于方案比较，不直接代替人体热风险指标。</w:t>
      </w:r>
    </w:p>
    <w:p>
      <w:r>
        <w:rPr>
          <w:b/>
        </w:rPr>
        <w:t xml:space="preserve">棚下保留散热条件。 </w:t>
      </w:r>
      <w:r>
        <w:t>按提案的匹克球篷房形式，比较屋面材料、透光、辐射热、侧幕开闭、通风开口和运动净空；检查多片球场连续布置时中部与边缘的热环境差异。避免为挡风挡雨将四周过度围合，风扇等设施不得影响击球和通行。网球场是否需要棚下热环境分析，取决于后续覆盖方案。</w:t>
      </w:r>
    </w:p>
    <w:p>
      <w:r>
        <w:rPr>
          <w:b/>
        </w:rPr>
        <w:t xml:space="preserve">施工服从材料窗口。 </w:t>
      </w:r>
      <w:r>
        <w:t>不同基层、涂层和胶黏材料的施工温度、湿度及养护条件不同，应由供应商提交产品要求，施工方逐次记录，不统一套用一组未经核实的阈值。</w:t>
      </w:r>
    </w:p>
    <w:p>
      <w:pPr>
        <w:pStyle w:val="Heading2"/>
      </w:pPr>
      <w:r>
        <w:t>运营建议</w:t>
      </w:r>
    </w:p>
    <w:p>
      <w:r>
        <w:rPr>
          <w:b/>
        </w:rPr>
        <w:t xml:space="preserve">分时段安排强度。 </w:t>
      </w:r>
      <w:r>
        <w:t>露天网球场及室外活动夏季优先早晚；拟篷房匹克球场依据棚下实测决定午后是否排课，保留缩短、转移或改期机制。冬季优先日间较暖时段。延长夜间营业须结合照明、邻里影响和管理要求，不能直接假定可营业至某一时刻。</w:t>
      </w:r>
    </w:p>
    <w:p>
      <w:r>
        <w:rPr>
          <w:b/>
        </w:rPr>
        <w:t xml:space="preserve">分人群安排。 </w:t>
      </w:r>
      <w:r>
        <w:t>儿童、初学者及不适应热环境者采用更短的连续活动和更充分的休息；教练开课前说明补水、休息和身体不适时停止活动的流程。</w:t>
      </w:r>
    </w:p>
    <w:p>
      <w:r>
        <w:rPr>
          <w:b/>
        </w:rPr>
        <w:t xml:space="preserve">采用多因素判断。 </w:t>
      </w:r>
      <w:r>
        <w:t>有条件时在运动区与休息区比较WBGT等热环境指标，结合属地预警、强度与参与者情况制定项目制度。本文不将职业暴露限值或职业赛事规则直接当作大众场地通用停场线。[6]</w:t>
      </w:r>
    </w:p>
    <w:p>
      <w:r>
        <w:rPr>
          <w:b/>
        </w:rPr>
        <w:t>设计交付要求：遮阳候场和饮水布局图、棚下通风方案、面层样板比较记录。运营留痕：高温调整的场次和小时、用户不适反馈、遮阳区使用情况。</w:t>
      </w:r>
    </w:p>
    <w:p>
      <w:r>
        <w:br w:type="page"/>
      </w:r>
    </w:p>
    <w:p>
      <w:pPr>
        <w:pStyle w:val="Heading1"/>
      </w:pPr>
      <w:r>
        <w:t>五  雨水与排水及遮雨安排</w:t>
      </w:r>
    </w:p>
    <w:p>
      <w:pPr>
        <w:pStyle w:val="Heading2"/>
      </w:pPr>
      <w:r>
        <w:t>需要分别处理三类雨水影响</w:t>
      </w:r>
    </w:p>
    <w:p>
      <w:r>
        <w:rPr>
          <w:b w:val="0"/>
        </w:rPr>
        <w:t>年降水量用于理解雨水背景，逐时雨强用于分析排水压力，降雨时段与雨后恢复时间用于安排营业。三者不能互相替代。南山站转引资料和龙井村单次暴雨支持把雨水应对列为项目重点，但不直接给出本地块设计标准。[1][2]</w:t>
      </w:r>
    </w:p>
    <w:p>
      <w:r>
        <w:rPr>
          <w:b/>
        </w:rPr>
        <w:t xml:space="preserve">短时强降雨。 </w:t>
      </w:r>
      <w:r>
        <w:t>重点是场外来水、排水口能力、出口受阻和安全疏散；不能只检查球场表面坡度。龙井村315.5毫米为24小时总量，不能除以24后当作工程设计雨强。</w:t>
      </w:r>
    </w:p>
    <w:p>
      <w:r>
        <w:rPr>
          <w:b/>
        </w:rPr>
        <w:t xml:space="preserve">间歇小雨。 </w:t>
      </w:r>
      <w:r>
        <w:t>总雨量不大，也可能反复打断课程并使地面持续湿滑。遮雨、飘雨控制和分区复场，在这类情形下可能比单纯扩大排水沟更影响实际可用时段。</w:t>
      </w:r>
    </w:p>
    <w:p>
      <w:r>
        <w:rPr>
          <w:b/>
        </w:rPr>
        <w:t xml:space="preserve">连续阴雨。 </w:t>
      </w:r>
      <w:r>
        <w:t>除了排水，还要检查基层含水、面层养护、设备储存及通道维护；雨停后是否能复场，取决于材料、积水、通风与日晒的组合。</w:t>
      </w:r>
    </w:p>
    <w:p>
      <w:pPr>
        <w:pStyle w:val="Heading2"/>
      </w:pPr>
      <w:r>
        <w:t>规划与施工要点</w:t>
      </w:r>
    </w:p>
    <w:p>
      <w:r>
        <w:rPr>
          <w:b/>
        </w:rPr>
        <w:t xml:space="preserve">形成完整排水路径。 </w:t>
      </w:r>
      <w:r>
        <w:t>核实场外汇水范围、场内低点和下游承接条件，将外围截水、篷房屋面落水、球场、停车场及通道排水统一设计，避免停车区域或棚顶来水流向球场。雨水沟和雨水口避开运动缓冲区，不能避免时采用不影响跑动的安全构造。</w:t>
      </w:r>
    </w:p>
    <w:p>
      <w:r>
        <w:rPr>
          <w:b/>
        </w:rPr>
        <w:t xml:space="preserve">先确认地形和基层。 </w:t>
      </w:r>
      <w:r>
        <w:t>提案拟由森兰场平，第7.1节列入填整及排水工作，但不表示这些工作已经完成。原地块说明标高为414—418米，CAD记录存在高程差异；应以现状和设计竖向测量确认。填整区重点核查压实、沉降、基层含水及外排出口；“全平地”不能取消必要的排水坡度。</w:t>
      </w:r>
    </w:p>
    <w:p>
      <w:r>
        <w:rPr>
          <w:b/>
        </w:rPr>
        <w:t xml:space="preserve">按面层体系设计。 </w:t>
      </w:r>
      <w:r>
        <w:t>ITF建设资料区分基层与面层等构造，并指出不同表面体系的做法不同。[8] 不预设所有球场都采用同一透水方式，也不把“透水面层”视为无需基层排水。坡度和平整度要同时服务排水与正常运动，由设计方按所选体系确定。</w:t>
      </w:r>
    </w:p>
    <w:p>
      <w:r>
        <w:rPr>
          <w:b/>
        </w:rPr>
        <w:t xml:space="preserve">遮雨设施同时处理飘雨和落水。 </w:t>
      </w:r>
      <w:r>
        <w:t>按18片匹克球场的篷房方案核实屋面汇水分区、天沟和落水路径，检查侧向飘雨、堵塞后的溢流、落水噪声及棚下凝露。棚边雨水不得集中排到球场、支承位置或主要通道。逐片核对实际覆盖边界及运动缓冲区，不继续把“是否加棚”作为匹克球场的首要待选问题；网球场覆盖形式另行明确。</w:t>
      </w:r>
    </w:p>
    <w:p>
      <w:pPr>
        <w:pStyle w:val="Heading2"/>
      </w:pPr>
      <w:r>
        <w:t>验收和运营要点</w:t>
      </w:r>
    </w:p>
    <w:p>
      <w:r>
        <w:rPr>
          <w:b w:val="0"/>
        </w:rPr>
        <w:t>建议在施工合同和验收记录中明确：排水路径通畅、面层无影响使用的局部积水、运动区及通道状态可检查、排水沟可清理。通过现场淋水及实际降雨记录积水位置、清理和干燥用时；具体判定指标由设计、产品标准和合同约定，本文不编造统一“雨后几分钟复场”要求。</w:t>
      </w:r>
    </w:p>
    <w:p>
      <w:r>
        <w:rPr>
          <w:b/>
        </w:rPr>
        <w:t>雨停后先巡查，再清理，最后分区开放；没有积水但仍有水膜或湿滑时继续关闭。保留预约改期、通知和退款规则，减少用户已经到场才得知停场的情况。</w:t>
      </w:r>
    </w:p>
    <w:p>
      <w:r>
        <w:br w:type="page"/>
      </w:r>
    </w:p>
    <w:p>
      <w:pPr>
        <w:pStyle w:val="Heading1"/>
      </w:pPr>
      <w:r>
        <w:t>六  日照光线与遮阳照明</w:t>
      </w:r>
    </w:p>
    <w:p>
      <w:pPr>
        <w:pStyle w:val="Heading2"/>
      </w:pPr>
      <w:r>
        <w:t>区分四个不同问题</w:t>
      </w:r>
    </w:p>
    <w:p>
      <w:r>
        <w:rPr>
          <w:b w:val="0"/>
        </w:rPr>
        <w:t>区域年日照977.9小时，7、8月分别169.1、175.0小时，12、1月分别17.9、16.6小时。[3] 这些数值说明季节差异，不能解释某一块球场每天几点受光，也不能当作白昼长度或紫外线强度。</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90" w:type="dxa"/>
          <w:right w:w="90" w:type="dxa"/>
        </w:tblCellMar>
      </w:tblPr>
      <w:tblGrid>
        <w:gridCol w:w="2154"/>
        <w:gridCol w:w="3231"/>
        <w:gridCol w:w="4252"/>
      </w:tblGrid>
      <w:tr>
        <w:trPr>
          <w:cantSplit/>
          <w:tblHeader/>
        </w:trPr>
        <w:tc>
          <w:tcPr>
            <w:tcW w:type="dxa" w:w="2154"/>
            <w:vAlign w:val="center"/>
            <w:shd w:fill="E7EEF2"/>
          </w:tcPr>
          <w:p>
            <w:pPr>
              <w:spacing w:after="0" w:line="264" w:lineRule="auto"/>
              <w:jc w:val="center"/>
            </w:pPr>
            <w:r>
              <w:rPr>
                <w:b/>
                <w:sz w:val="20"/>
              </w:rPr>
              <w:t>因素</w:t>
            </w:r>
          </w:p>
        </w:tc>
        <w:tc>
          <w:tcPr>
            <w:tcW w:type="dxa" w:w="3231"/>
            <w:vAlign w:val="center"/>
            <w:shd w:fill="E7EEF2"/>
          </w:tcPr>
          <w:p>
            <w:pPr>
              <w:spacing w:after="0" w:line="264" w:lineRule="auto"/>
              <w:jc w:val="center"/>
            </w:pPr>
            <w:r>
              <w:rPr>
                <w:b/>
                <w:sz w:val="20"/>
              </w:rPr>
              <w:t>对场地的影响</w:t>
            </w:r>
          </w:p>
        </w:tc>
        <w:tc>
          <w:tcPr>
            <w:tcW w:type="dxa" w:w="4252"/>
            <w:vAlign w:val="center"/>
            <w:shd w:fill="E7EEF2"/>
          </w:tcPr>
          <w:p>
            <w:pPr>
              <w:spacing w:after="0" w:line="264" w:lineRule="auto"/>
              <w:jc w:val="center"/>
            </w:pPr>
            <w:r>
              <w:rPr>
                <w:b/>
                <w:sz w:val="20"/>
              </w:rPr>
              <w:t>项目应核对的内容</w:t>
            </w:r>
          </w:p>
        </w:tc>
      </w:tr>
      <w:tr>
        <w:trPr>
          <w:cantSplit/>
        </w:trPr>
        <w:tc>
          <w:tcPr>
            <w:tcW w:type="dxa" w:w="2154"/>
            <w:vAlign w:val="center"/>
            <w:shd w:fill="FFFFFF"/>
          </w:tcPr>
          <w:p>
            <w:pPr>
              <w:spacing w:after="0" w:line="264" w:lineRule="auto"/>
              <w:jc w:val="center"/>
            </w:pPr>
            <w:r>
              <w:rPr>
                <w:b w:val="0"/>
                <w:sz w:val="20"/>
              </w:rPr>
              <w:t>太阳辐射与日晒</w:t>
            </w:r>
          </w:p>
        </w:tc>
        <w:tc>
          <w:tcPr>
            <w:tcW w:type="dxa" w:w="3231"/>
            <w:vAlign w:val="center"/>
            <w:shd w:fill="FFFFFF"/>
          </w:tcPr>
          <w:p>
            <w:pPr>
              <w:spacing w:after="0" w:line="264" w:lineRule="auto"/>
              <w:jc w:val="center"/>
            </w:pPr>
            <w:r>
              <w:rPr>
                <w:b w:val="0"/>
                <w:sz w:val="20"/>
              </w:rPr>
              <w:t>影响热感和休息区使用</w:t>
            </w:r>
          </w:p>
        </w:tc>
        <w:tc>
          <w:tcPr>
            <w:tcW w:type="dxa" w:w="4252"/>
            <w:vAlign w:val="center"/>
            <w:shd w:fill="FFFFFF"/>
          </w:tcPr>
          <w:p>
            <w:pPr>
              <w:spacing w:after="0" w:line="264" w:lineRule="auto"/>
              <w:jc w:val="left"/>
            </w:pPr>
            <w:r>
              <w:rPr>
                <w:b w:val="0"/>
                <w:sz w:val="20"/>
              </w:rPr>
              <w:t>球场及候场区在典型时段的遮阳范围。</w:t>
            </w:r>
          </w:p>
        </w:tc>
      </w:tr>
      <w:tr>
        <w:trPr>
          <w:cantSplit/>
        </w:trPr>
        <w:tc>
          <w:tcPr>
            <w:tcW w:type="dxa" w:w="2154"/>
            <w:vAlign w:val="center"/>
            <w:shd w:fill="F7F9FA"/>
          </w:tcPr>
          <w:p>
            <w:pPr>
              <w:spacing w:after="0" w:line="264" w:lineRule="auto"/>
              <w:jc w:val="center"/>
            </w:pPr>
            <w:r>
              <w:rPr>
                <w:b w:val="0"/>
                <w:sz w:val="20"/>
              </w:rPr>
              <w:t>低角度直射光</w:t>
            </w:r>
          </w:p>
        </w:tc>
        <w:tc>
          <w:tcPr>
            <w:tcW w:type="dxa" w:w="3231"/>
            <w:vAlign w:val="center"/>
            <w:shd w:fill="F7F9FA"/>
          </w:tcPr>
          <w:p>
            <w:pPr>
              <w:spacing w:after="0" w:line="264" w:lineRule="auto"/>
              <w:jc w:val="left"/>
            </w:pPr>
            <w:r>
              <w:rPr>
                <w:b w:val="0"/>
                <w:sz w:val="20"/>
              </w:rPr>
              <w:t>可能影响发球、接球和高球识别</w:t>
            </w:r>
          </w:p>
        </w:tc>
        <w:tc>
          <w:tcPr>
            <w:tcW w:type="dxa" w:w="4252"/>
            <w:vAlign w:val="center"/>
            <w:shd w:fill="F7F9FA"/>
          </w:tcPr>
          <w:p>
            <w:pPr>
              <w:spacing w:after="0" w:line="264" w:lineRule="auto"/>
              <w:jc w:val="left"/>
            </w:pPr>
            <w:r>
              <w:rPr>
                <w:b w:val="0"/>
                <w:sz w:val="20"/>
              </w:rPr>
              <w:t>两端底线、网球发球视线及早晚迎光方向。</w:t>
            </w:r>
          </w:p>
        </w:tc>
      </w:tr>
      <w:tr>
        <w:trPr>
          <w:cantSplit/>
        </w:trPr>
        <w:tc>
          <w:tcPr>
            <w:tcW w:type="dxa" w:w="2154"/>
            <w:vAlign w:val="center"/>
            <w:shd w:fill="FFFFFF"/>
          </w:tcPr>
          <w:p>
            <w:pPr>
              <w:spacing w:after="0" w:line="264" w:lineRule="auto"/>
              <w:jc w:val="center"/>
            </w:pPr>
            <w:r>
              <w:rPr>
                <w:b w:val="0"/>
                <w:sz w:val="20"/>
              </w:rPr>
              <w:t>阴影与明暗变化</w:t>
            </w:r>
          </w:p>
        </w:tc>
        <w:tc>
          <w:tcPr>
            <w:tcW w:type="dxa" w:w="3231"/>
            <w:vAlign w:val="center"/>
            <w:shd w:fill="FFFFFF"/>
          </w:tcPr>
          <w:p>
            <w:pPr>
              <w:spacing w:after="0" w:line="264" w:lineRule="auto"/>
              <w:jc w:val="left"/>
            </w:pPr>
            <w:r>
              <w:rPr>
                <w:b w:val="0"/>
                <w:sz w:val="20"/>
              </w:rPr>
              <w:t>可能影响辨球和局部地面干燥</w:t>
            </w:r>
          </w:p>
        </w:tc>
        <w:tc>
          <w:tcPr>
            <w:tcW w:type="dxa" w:w="4252"/>
            <w:vAlign w:val="center"/>
            <w:shd w:fill="FFFFFF"/>
          </w:tcPr>
          <w:p>
            <w:pPr>
              <w:spacing w:after="0" w:line="264" w:lineRule="auto"/>
              <w:jc w:val="left"/>
            </w:pPr>
            <w:r>
              <w:rPr>
                <w:b w:val="0"/>
                <w:sz w:val="20"/>
              </w:rPr>
              <w:t>树木、山体、屋檐及围挡形成的阴影边界。</w:t>
            </w:r>
          </w:p>
        </w:tc>
      </w:tr>
      <w:tr>
        <w:trPr>
          <w:cantSplit/>
        </w:trPr>
        <w:tc>
          <w:tcPr>
            <w:tcW w:type="dxa" w:w="2154"/>
            <w:vAlign w:val="center"/>
            <w:shd w:fill="F7F9FA"/>
          </w:tcPr>
          <w:p>
            <w:pPr>
              <w:spacing w:after="0" w:line="264" w:lineRule="auto"/>
              <w:jc w:val="center"/>
            </w:pPr>
            <w:r>
              <w:rPr>
                <w:b w:val="0"/>
                <w:sz w:val="20"/>
              </w:rPr>
              <w:t>自然光不足与夜间照明</w:t>
            </w:r>
          </w:p>
        </w:tc>
        <w:tc>
          <w:tcPr>
            <w:tcW w:type="dxa" w:w="3231"/>
            <w:vAlign w:val="center"/>
            <w:shd w:fill="F7F9FA"/>
          </w:tcPr>
          <w:p>
            <w:pPr>
              <w:spacing w:after="0" w:line="264" w:lineRule="auto"/>
              <w:jc w:val="left"/>
            </w:pPr>
            <w:r>
              <w:rPr>
                <w:b w:val="0"/>
                <w:sz w:val="20"/>
              </w:rPr>
              <w:t>影响可使用时段和视觉舒适度</w:t>
            </w:r>
          </w:p>
        </w:tc>
        <w:tc>
          <w:tcPr>
            <w:tcW w:type="dxa" w:w="4252"/>
            <w:vAlign w:val="center"/>
            <w:shd w:fill="F7F9FA"/>
          </w:tcPr>
          <w:p>
            <w:pPr>
              <w:spacing w:after="0" w:line="264" w:lineRule="auto"/>
              <w:jc w:val="left"/>
            </w:pPr>
            <w:r>
              <w:rPr>
                <w:b w:val="0"/>
                <w:sz w:val="20"/>
              </w:rPr>
              <w:t>均匀度、眩光、高球可见性与邻界溢出光。</w:t>
            </w:r>
          </w:p>
        </w:tc>
      </w:tr>
    </w:tbl>
    <w:p>
      <w:pPr>
        <w:pStyle w:val="Heading2"/>
      </w:pPr>
      <w:r>
        <w:t>规划和建设建议</w:t>
      </w:r>
    </w:p>
    <w:p>
      <w:r>
        <w:rPr>
          <w:b/>
        </w:rPr>
        <w:t xml:space="preserve">先比选朝向，再定场地排布。 </w:t>
      </w:r>
      <w:r>
        <w:t>USA Pickleball的南北向建议针对露天匹克球场。[5] 本项目拟采用篷房，需结合屋面透光、侧面开口及低角度入射光判断，不能机械套用露天朝向结论。网球场若采用露天方案，应校核太阳方位、发球抛球和高球视线；有覆盖时同时检查棚内光线。</w:t>
      </w:r>
    </w:p>
    <w:p>
      <w:r>
        <w:rPr>
          <w:b/>
        </w:rPr>
        <w:t xml:space="preserve">做有坐标和遮挡条件的日影检查。 </w:t>
      </w:r>
      <w:r>
        <w:t>建议设计方利用现状地形、周边建筑、拟建棚体和树木资料，比较冬夏及春秋典型日期、拟营业时段的阴影。输出每片球场两端视线与候场区受光情况；没有这些模型输入时，不给出虚假的地块日照小时。</w:t>
      </w:r>
    </w:p>
    <w:p>
      <w:r>
        <w:rPr>
          <w:b/>
        </w:rPr>
        <w:t xml:space="preserve">把遮阳和照明一起设计。 </w:t>
      </w:r>
      <w:r>
        <w:t>候场区需要稳定遮阳，球场需避免影响辨球的强反光和复杂阴影。若增加早晚营业，应同步安排照明，检查高球可见性、两端均匀度及灯具眩光；照度、灯杆位置等由照明设计按使用等级确定，不直接套用职业赛事高规格参数。</w:t>
      </w:r>
    </w:p>
    <w:p>
      <w:r>
        <w:rPr>
          <w:b/>
        </w:rPr>
        <w:t xml:space="preserve">核查屋面和面层光学表现。 </w:t>
      </w:r>
      <w:r>
        <w:t>透光棚不必然舒适，要比较透光、热感和眩光；遮阳材料应有可核对的性能信息。用实际球、实际站位和样板验证，避免仅看效果图。</w:t>
      </w:r>
    </w:p>
    <w:p>
      <w:pPr>
        <w:pStyle w:val="Heading2"/>
      </w:pPr>
      <w:r>
        <w:t>运营建议</w:t>
      </w:r>
    </w:p>
    <w:p>
      <w:r>
        <w:rPr>
          <w:b w:val="0"/>
        </w:rPr>
        <w:t>早晚避热与低角度眩光可能发生冲突。应按球场建立受光观察记录，在明显迎光、辨球困难的时段调整场次或球场，而不是统一认定“早晚最好”。日照短也不能据此判断紫外线低；可结合当地紫外线预报提醒防晒。WHO建议在紫外线指数达到3及以上时采取防护措施[10]，本文未取得南山地块紫外线实测值。</w:t>
      </w:r>
    </w:p>
    <w:p>
      <w:r>
        <w:rPr>
          <w:b/>
        </w:rPr>
        <w:t>设计交付要求：朝向比选、典型日影图、遮阳候场覆盖图及照明方案。试运营检查：两端接发球、高球、阴影边界及夜间照明下的辨球体验。</w:t>
      </w:r>
    </w:p>
    <w:p>
      <w:r>
        <w:br w:type="page"/>
      </w:r>
    </w:p>
    <w:p>
      <w:pPr>
        <w:pStyle w:val="Heading1"/>
      </w:pPr>
      <w:r>
        <w:t>七  风与湿度及地面维护</w:t>
      </w:r>
    </w:p>
    <w:p>
      <w:pPr>
        <w:pStyle w:val="Heading2"/>
      </w:pPr>
      <w:r>
        <w:t>风的影响与应对</w:t>
      </w:r>
    </w:p>
    <w:p>
      <w:r>
        <w:rPr>
          <w:b w:val="0"/>
        </w:rPr>
        <w:t>区域年均风速1.4米/秒，7—8月月均1.6米/秒。[3] 平均值不能代表阵风，也不能给出地块主导风向。山体遮挡、道路缺口、建筑边缘和棚体都可能改变局部气流，不能把区域“风小”直接等同于球场不需要防风。</w:t>
      </w:r>
    </w:p>
    <w:p>
      <w:r>
        <w:rPr>
          <w:b/>
        </w:rPr>
        <w:t xml:space="preserve">运动体验。 </w:t>
      </w:r>
      <w:r>
        <w:t>风会影响球的飞行与落点。匹克球重量轻，布局比选宜关注风扰；网球的发球抛球和高球同样需要观察。实际可接受程度与风向、阵风、场地及参与者水平有关，不在缺少本地试打记录时设统一停场风速。</w:t>
      </w:r>
    </w:p>
    <w:p>
      <w:r>
        <w:rPr>
          <w:b/>
        </w:rPr>
        <w:t xml:space="preserve">规划与建设。 </w:t>
      </w:r>
      <w:r>
        <w:t>对篷房边缘、侧面开口及网球场比较风况，再确定防风网位置。提案采用无混凝土基础篷房及配重式灯杆，须由结构专业核查实际支承条件、配重与连接、抗滑移和抗倾覆，以及侧幕不同状态对受风的影响；本文不提供未经计算的配重数量或停用风速。</w:t>
      </w:r>
    </w:p>
    <w:p>
      <w:r>
        <w:rPr>
          <w:b/>
        </w:rPr>
        <w:t xml:space="preserve">运营与维护。 </w:t>
      </w:r>
      <w:r>
        <w:t>分开记录“影响控球的风”和“影响设施安全的风”。阵风造成设施异常、树枝风险或明显控球困难时暂停相关区域；预警前后按批准的设施操作规程检查，不能临时安排人员在大风中登高拆网或收棚。</w:t>
      </w:r>
    </w:p>
    <w:p>
      <w:pPr>
        <w:pStyle w:val="Heading2"/>
      </w:pPr>
      <w:r>
        <w:t>湿度及凝露的影响与应对</w:t>
      </w:r>
    </w:p>
    <w:p>
      <w:r>
        <w:rPr>
          <w:b w:val="0"/>
        </w:rPr>
        <w:t>区域年均相对湿度77.9%，10—12月均超过83%。[3] 相对湿度随气温变化，同一个湿度数值不代表相同的闷热程度；露点用于说明水汽凝结条件。[9] 地面或棚底温度降至相应露点附近时可能凝露，因此没有下雨也可能出现湿滑。是否发生须结合表面温度与现场检查。</w:t>
      </w:r>
    </w:p>
    <w:p>
      <w:r>
        <w:rPr>
          <w:b/>
        </w:rPr>
        <w:t xml:space="preserve">规划与建设。 </w:t>
      </w:r>
      <w:r>
        <w:t>低洼、阴影和围合区域应同时检查排水与通风。棚体设计比较凝露收集或防滴落措施，避免水滴落到球场；不能单靠加棚解决潮湿。设备储存间保持适当通风，金属连接件和电气设施按其使用环境选型。</w:t>
      </w:r>
    </w:p>
    <w:p>
      <w:r>
        <w:rPr>
          <w:b/>
        </w:rPr>
        <w:t xml:space="preserve">开场检查。 </w:t>
      </w:r>
      <w:r>
        <w:t>晨间、连续阴雨后及夜间降温时段，重点看底线、边角、阴影区、通道和棚下是否有水膜、露水、湿滑及附着物。不能凭“雨已停”或“湿度低于某值”自动复场。</w:t>
      </w:r>
    </w:p>
    <w:p>
      <w:r>
        <w:rPr>
          <w:b/>
        </w:rPr>
        <w:t xml:space="preserve">日常维护。 </w:t>
      </w:r>
      <w:r>
        <w:t>及时清理落叶、泥沙与排水口；对长期阴湿区域加强巡检，出现藻类、污膜等影响防滑的问题时按面层厂商要求清洁处理。不得采用损伤面层或留下滑腻残留的清洗方法，清洗后同样需要确认可用状态。</w:t>
      </w:r>
    </w:p>
    <w:p>
      <w:r>
        <w:rPr>
          <w:b/>
        </w:rPr>
        <w:t>复合影响：湿热与少风可能加重闷热；遮阴与弱风可能延长干燥；风雨同来会增加飘雨；降温与高湿可能引发晨露。现场记录应同时标注这些条件，避免把所有停场原因都归为“下雨”。</w:t>
      </w:r>
    </w:p>
    <w:p>
      <w:r>
        <w:br w:type="page"/>
      </w:r>
    </w:p>
    <w:p>
      <w:pPr>
        <w:pStyle w:val="Heading1"/>
      </w:pPr>
      <w:r>
        <w:t>八  配套空间与非永久性设施</w:t>
      </w:r>
    </w:p>
    <w:p>
      <w:r>
        <w:rPr>
          <w:b w:val="0"/>
        </w:rPr>
        <w:t>提案将运动、赛事、培训和休闲消费结合，天气影响必须覆盖球场以外的接待和通行空间。以下为依据提案第2.4、3.1—3.3节提出的设计核查建议，不表示有关设施已按这些要求建成。[11]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90" w:type="dxa"/>
          <w:right w:w="90" w:type="dxa"/>
        </w:tblCellMar>
      </w:tblPr>
      <w:tblGrid>
        <w:gridCol w:w="1984"/>
        <w:gridCol w:w="3402"/>
        <w:gridCol w:w="4252"/>
      </w:tblGrid>
      <w:tr>
        <w:trPr>
          <w:cantSplit/>
          <w:tblHeader/>
        </w:trPr>
        <w:tc>
          <w:tcPr>
            <w:tcW w:type="dxa" w:w="1984"/>
            <w:vAlign w:val="center"/>
            <w:shd w:fill="E7EEF2"/>
          </w:tcPr>
          <w:p>
            <w:pPr>
              <w:spacing w:after="0" w:line="264" w:lineRule="auto"/>
              <w:jc w:val="center"/>
            </w:pPr>
            <w:r>
              <w:rPr>
                <w:b/>
                <w:sz w:val="20"/>
              </w:rPr>
              <w:t>空间或设施</w:t>
            </w:r>
          </w:p>
        </w:tc>
        <w:tc>
          <w:tcPr>
            <w:tcW w:type="dxa" w:w="3402"/>
            <w:vAlign w:val="center"/>
            <w:shd w:fill="E7EEF2"/>
          </w:tcPr>
          <w:p>
            <w:pPr>
              <w:spacing w:after="0" w:line="264" w:lineRule="auto"/>
              <w:jc w:val="center"/>
            </w:pPr>
            <w:r>
              <w:rPr>
                <w:b/>
                <w:sz w:val="20"/>
              </w:rPr>
              <w:t>气候影响</w:t>
            </w:r>
          </w:p>
        </w:tc>
        <w:tc>
          <w:tcPr>
            <w:tcW w:type="dxa" w:w="4252"/>
            <w:vAlign w:val="center"/>
            <w:shd w:fill="E7EEF2"/>
          </w:tcPr>
          <w:p>
            <w:pPr>
              <w:spacing w:after="0" w:line="264" w:lineRule="auto"/>
              <w:jc w:val="center"/>
            </w:pPr>
            <w:r>
              <w:rPr>
                <w:b/>
                <w:sz w:val="20"/>
              </w:rPr>
              <w:t>本项目应落实的检查</w:t>
            </w:r>
          </w:p>
        </w:tc>
      </w:tr>
      <w:tr>
        <w:trPr>
          <w:cantSplit/>
        </w:trPr>
        <w:tc>
          <w:tcPr>
            <w:tcW w:type="dxa" w:w="1984"/>
            <w:vAlign w:val="center"/>
            <w:shd w:fill="FFFFFF"/>
          </w:tcPr>
          <w:p>
            <w:pPr>
              <w:spacing w:after="0" w:line="264" w:lineRule="auto"/>
              <w:jc w:val="center"/>
            </w:pPr>
            <w:r>
              <w:rPr>
                <w:b w:val="0"/>
                <w:sz w:val="20"/>
              </w:rPr>
              <w:t>咖啡轻食与音乐驿站</w:t>
            </w:r>
          </w:p>
        </w:tc>
        <w:tc>
          <w:tcPr>
            <w:tcW w:type="dxa" w:w="3402"/>
            <w:vAlign w:val="center"/>
            <w:shd w:fill="FFFFFF"/>
          </w:tcPr>
          <w:p>
            <w:pPr>
              <w:spacing w:after="0" w:line="264" w:lineRule="auto"/>
              <w:jc w:val="left"/>
            </w:pPr>
            <w:r>
              <w:rPr>
                <w:b w:val="0"/>
                <w:sz w:val="20"/>
              </w:rPr>
              <w:t>棚下闷热、侧向飘雨、屋面雨声及潮湿影响接待和设备。</w:t>
            </w:r>
          </w:p>
        </w:tc>
        <w:tc>
          <w:tcPr>
            <w:tcW w:type="dxa" w:w="4252"/>
            <w:vAlign w:val="center"/>
            <w:shd w:fill="FFFFFF"/>
          </w:tcPr>
          <w:p>
            <w:pPr>
              <w:spacing w:after="0" w:line="264" w:lineRule="auto"/>
              <w:jc w:val="left"/>
            </w:pPr>
            <w:r>
              <w:rPr>
                <w:b w:val="0"/>
                <w:sz w:val="20"/>
              </w:rPr>
              <w:t>比较围合与通风，检查入口遮雨及用电设备遇水保护；保留户外活动改期安排。</w:t>
            </w:r>
          </w:p>
        </w:tc>
      </w:tr>
      <w:tr>
        <w:trPr>
          <w:cantSplit/>
        </w:trPr>
        <w:tc>
          <w:tcPr>
            <w:tcW w:type="dxa" w:w="1984"/>
            <w:vAlign w:val="center"/>
            <w:shd w:fill="F7F9FA"/>
          </w:tcPr>
          <w:p>
            <w:pPr>
              <w:spacing w:after="0" w:line="264" w:lineRule="auto"/>
              <w:jc w:val="center"/>
            </w:pPr>
            <w:r>
              <w:rPr>
                <w:b w:val="0"/>
                <w:sz w:val="20"/>
              </w:rPr>
              <w:t>更衣淋浴与器材存放</w:t>
            </w:r>
          </w:p>
        </w:tc>
        <w:tc>
          <w:tcPr>
            <w:tcW w:type="dxa" w:w="3402"/>
            <w:vAlign w:val="center"/>
            <w:shd w:fill="F7F9FA"/>
          </w:tcPr>
          <w:p>
            <w:pPr>
              <w:spacing w:after="0" w:line="264" w:lineRule="auto"/>
              <w:jc w:val="left"/>
            </w:pPr>
            <w:r>
              <w:rPr>
                <w:b w:val="0"/>
                <w:sz w:val="20"/>
              </w:rPr>
              <w:t>淋浴产湿叠加环境湿度；凝露、湿滑及器材受潮。</w:t>
            </w:r>
          </w:p>
        </w:tc>
        <w:tc>
          <w:tcPr>
            <w:tcW w:type="dxa" w:w="4252"/>
            <w:vAlign w:val="center"/>
            <w:shd w:fill="F7F9FA"/>
          </w:tcPr>
          <w:p>
            <w:pPr>
              <w:spacing w:after="0" w:line="264" w:lineRule="auto"/>
              <w:jc w:val="left"/>
            </w:pPr>
            <w:r>
              <w:rPr>
                <w:b w:val="0"/>
                <w:sz w:val="20"/>
              </w:rPr>
              <w:t>湿区排水与通风、防滑；器材干燥存放和柜内巡检，不把湿装备直接长期封存。</w:t>
            </w:r>
          </w:p>
        </w:tc>
      </w:tr>
      <w:tr>
        <w:trPr>
          <w:cantSplit/>
        </w:trPr>
        <w:tc>
          <w:tcPr>
            <w:tcW w:type="dxa" w:w="1984"/>
            <w:vAlign w:val="center"/>
            <w:shd w:fill="FFFFFF"/>
          </w:tcPr>
          <w:p>
            <w:pPr>
              <w:spacing w:after="0" w:line="264" w:lineRule="auto"/>
              <w:jc w:val="center"/>
            </w:pPr>
            <w:r>
              <w:rPr>
                <w:b w:val="0"/>
                <w:sz w:val="20"/>
              </w:rPr>
              <w:t>候场与观众空间</w:t>
            </w:r>
          </w:p>
        </w:tc>
        <w:tc>
          <w:tcPr>
            <w:tcW w:type="dxa" w:w="3402"/>
            <w:vAlign w:val="center"/>
            <w:shd w:fill="FFFFFF"/>
          </w:tcPr>
          <w:p>
            <w:pPr>
              <w:spacing w:after="0" w:line="264" w:lineRule="auto"/>
              <w:jc w:val="left"/>
            </w:pPr>
            <w:r>
              <w:rPr>
                <w:b w:val="0"/>
                <w:sz w:val="20"/>
              </w:rPr>
              <w:t>赛事集中到场时，暴晒、雨水或强对流可能同时影响多人。</w:t>
            </w:r>
          </w:p>
        </w:tc>
        <w:tc>
          <w:tcPr>
            <w:tcW w:type="dxa" w:w="4252"/>
            <w:vAlign w:val="center"/>
            <w:shd w:fill="FFFFFF"/>
          </w:tcPr>
          <w:p>
            <w:pPr>
              <w:spacing w:after="0" w:line="264" w:lineRule="auto"/>
              <w:jc w:val="left"/>
            </w:pPr>
            <w:r>
              <w:rPr>
                <w:b w:val="0"/>
                <w:sz w:val="20"/>
              </w:rPr>
              <w:t>按活动规模核定遮阳候场、饮水、通行及避难容量，不以24片球场数量直接推算接待上限。</w:t>
            </w:r>
          </w:p>
        </w:tc>
      </w:tr>
      <w:tr>
        <w:trPr>
          <w:cantSplit/>
        </w:trPr>
        <w:tc>
          <w:tcPr>
            <w:tcW w:type="dxa" w:w="1984"/>
            <w:vAlign w:val="center"/>
            <w:shd w:fill="F7F9FA"/>
          </w:tcPr>
          <w:p>
            <w:pPr>
              <w:spacing w:after="0" w:line="264" w:lineRule="auto"/>
              <w:jc w:val="center"/>
            </w:pPr>
            <w:r>
              <w:rPr>
                <w:b w:val="0"/>
                <w:sz w:val="20"/>
              </w:rPr>
              <w:t>停车场与公共通道</w:t>
            </w:r>
          </w:p>
        </w:tc>
        <w:tc>
          <w:tcPr>
            <w:tcW w:type="dxa" w:w="3402"/>
            <w:vAlign w:val="center"/>
            <w:shd w:fill="F7F9FA"/>
          </w:tcPr>
          <w:p>
            <w:pPr>
              <w:spacing w:after="0" w:line="264" w:lineRule="auto"/>
              <w:jc w:val="left"/>
            </w:pPr>
            <w:r>
              <w:rPr>
                <w:b w:val="0"/>
                <w:sz w:val="20"/>
              </w:rPr>
              <w:t>集中来水、积水、低照度和湿滑影响进出。</w:t>
            </w:r>
          </w:p>
        </w:tc>
        <w:tc>
          <w:tcPr>
            <w:tcW w:type="dxa" w:w="4252"/>
            <w:vAlign w:val="center"/>
            <w:shd w:fill="F7F9FA"/>
          </w:tcPr>
          <w:p>
            <w:pPr>
              <w:spacing w:after="0" w:line="264" w:lineRule="auto"/>
              <w:jc w:val="left"/>
            </w:pPr>
            <w:r>
              <w:rPr>
                <w:b w:val="0"/>
                <w:sz w:val="20"/>
              </w:rPr>
              <w:t>与屋面及球场排水衔接，检查步行线路、上下客点和夜间可见性。</w:t>
            </w:r>
          </w:p>
        </w:tc>
      </w:tr>
      <w:tr>
        <w:trPr>
          <w:cantSplit/>
        </w:trPr>
        <w:tc>
          <w:tcPr>
            <w:tcW w:type="dxa" w:w="1984"/>
            <w:vAlign w:val="center"/>
            <w:shd w:fill="FFFFFF"/>
          </w:tcPr>
          <w:p>
            <w:pPr>
              <w:spacing w:after="0" w:line="264" w:lineRule="auto"/>
              <w:jc w:val="center"/>
            </w:pPr>
            <w:r>
              <w:rPr>
                <w:b w:val="0"/>
                <w:sz w:val="20"/>
              </w:rPr>
              <w:t>绿地与旅拍节点</w:t>
            </w:r>
          </w:p>
        </w:tc>
        <w:tc>
          <w:tcPr>
            <w:tcW w:type="dxa" w:w="3402"/>
            <w:vAlign w:val="center"/>
            <w:shd w:fill="FFFFFF"/>
          </w:tcPr>
          <w:p>
            <w:pPr>
              <w:spacing w:after="0" w:line="264" w:lineRule="auto"/>
              <w:jc w:val="left"/>
            </w:pPr>
            <w:r>
              <w:rPr>
                <w:b w:val="0"/>
                <w:sz w:val="20"/>
              </w:rPr>
              <w:t>太阳角度、阴影、降雨、风及湿滑影响停留和拍摄。</w:t>
            </w:r>
          </w:p>
        </w:tc>
        <w:tc>
          <w:tcPr>
            <w:tcW w:type="dxa" w:w="4252"/>
            <w:vAlign w:val="center"/>
            <w:shd w:fill="FFFFFF"/>
          </w:tcPr>
          <w:p>
            <w:pPr>
              <w:spacing w:after="0" w:line="264" w:lineRule="auto"/>
              <w:jc w:val="left"/>
            </w:pPr>
            <w:r>
              <w:rPr>
                <w:b w:val="0"/>
                <w:sz w:val="20"/>
              </w:rPr>
              <w:t>拍摄预约保留天气调整；检查临时道具和装饰固定，维护不积水的步行通道。</w:t>
            </w:r>
          </w:p>
        </w:tc>
      </w:tr>
      <w:tr>
        <w:trPr>
          <w:cantSplit/>
        </w:trPr>
        <w:tc>
          <w:tcPr>
            <w:tcW w:type="dxa" w:w="1984"/>
            <w:vAlign w:val="center"/>
            <w:shd w:fill="F7F9FA"/>
          </w:tcPr>
          <w:p>
            <w:pPr>
              <w:spacing w:after="0" w:line="264" w:lineRule="auto"/>
              <w:jc w:val="center"/>
            </w:pPr>
            <w:r>
              <w:rPr>
                <w:b w:val="0"/>
                <w:sz w:val="20"/>
              </w:rPr>
              <w:t>集装箱与膜结构</w:t>
            </w:r>
          </w:p>
        </w:tc>
        <w:tc>
          <w:tcPr>
            <w:tcW w:type="dxa" w:w="3402"/>
            <w:vAlign w:val="center"/>
            <w:shd w:fill="F7F9FA"/>
          </w:tcPr>
          <w:p>
            <w:pPr>
              <w:spacing w:after="0" w:line="264" w:lineRule="auto"/>
              <w:jc w:val="left"/>
            </w:pPr>
            <w:r>
              <w:rPr>
                <w:b w:val="0"/>
                <w:sz w:val="20"/>
              </w:rPr>
              <w:t>日晒升温、凝露、飘雨及支承处积水。</w:t>
            </w:r>
          </w:p>
        </w:tc>
        <w:tc>
          <w:tcPr>
            <w:tcW w:type="dxa" w:w="4252"/>
            <w:vAlign w:val="center"/>
            <w:shd w:fill="F7F9FA"/>
          </w:tcPr>
          <w:p>
            <w:pPr>
              <w:spacing w:after="0" w:line="264" w:lineRule="auto"/>
              <w:jc w:val="left"/>
            </w:pPr>
            <w:r>
              <w:rPr>
                <w:b w:val="0"/>
                <w:sz w:val="20"/>
              </w:rPr>
              <w:t>分别核查热环境、通风、排水与支承稳定；不凭设施名称认定其能承受任意风雨或提供雷电避难。</w:t>
            </w:r>
          </w:p>
        </w:tc>
      </w:tr>
    </w:tbl>
    <w:p>
      <w:pPr>
        <w:pStyle w:val="Heading2"/>
      </w:pPr>
      <w:r>
        <w:t>将可拆卸方式落实为可检查的工程条件</w:t>
      </w:r>
    </w:p>
    <w:p>
      <w:r>
        <w:rPr>
          <w:b/>
        </w:rPr>
        <w:t xml:space="preserve">篷房与配重灯杆。 </w:t>
      </w:r>
      <w:r>
        <w:t>由专业人员提供安装、使用、停用及天气前后检查要求，确认支承面承载、配重和连接方式。雨后检查支承附近冲刷、积水、沉降和连接松动；侧幕的开闭或拆收必须按规定在安全条件下执行。</w:t>
      </w:r>
    </w:p>
    <w:p>
      <w:r>
        <w:rPr>
          <w:b/>
        </w:rPr>
        <w:t xml:space="preserve">地面走线。 </w:t>
      </w:r>
      <w:r>
        <w:t>由电气专业核对线路与排水、运动缓冲区和人行通道的关系，明确遇水、受压、机械损伤及漏电防护措施。不得把“非直埋”理解为电缆可以无保护地穿越积水区或运动通道。</w:t>
      </w:r>
    </w:p>
    <w:p>
      <w:r>
        <w:rPr>
          <w:b/>
        </w:rPr>
        <w:t xml:space="preserve">共同避险。 </w:t>
      </w:r>
      <w:r>
        <w:t>核实哪些封闭空间具有适当防护条件、可容纳多少人以及如何安全到达。不能把篷房、膜结构或任意集装箱自动指定为雷电避难所，也不能默认停车场车辆容量足以承担全部人员避险。</w:t>
      </w:r>
    </w:p>
    <w:p>
      <w:r>
        <w:br w:type="page"/>
      </w:r>
    </w:p>
    <w:p>
      <w:pPr>
        <w:pStyle w:val="Heading1"/>
      </w:pPr>
      <w:r>
        <w:t>九  分季节运营与天气停复场</w:t>
      </w:r>
    </w:p>
    <w:p>
      <w:r>
        <w:rPr>
          <w:b w:val="0"/>
        </w:rPr>
        <w:t>以下为区域气候背景下的运营建议。匹克球按拟篷房条件检查，网球按最终覆盖方案检查，室外公共空间另行判断；不得把24片球场统一赋予同一天气可用率。实际停复场服从属地管理要求、预警和现场条件。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90" w:type="dxa"/>
          <w:right w:w="90" w:type="dxa"/>
        </w:tblCellMar>
      </w:tblPr>
      <w:tblGrid>
        <w:gridCol w:w="1361"/>
        <w:gridCol w:w="3061"/>
        <w:gridCol w:w="5216"/>
      </w:tblGrid>
      <w:tr>
        <w:trPr>
          <w:cantSplit/>
          <w:tblHeader/>
        </w:trPr>
        <w:tc>
          <w:tcPr>
            <w:tcW w:type="dxa" w:w="1361"/>
            <w:vAlign w:val="center"/>
            <w:shd w:fill="E7EEF2"/>
          </w:tcPr>
          <w:p>
            <w:pPr>
              <w:spacing w:after="0" w:line="264" w:lineRule="auto"/>
              <w:jc w:val="center"/>
            </w:pPr>
            <w:r>
              <w:rPr>
                <w:b/>
                <w:sz w:val="20"/>
              </w:rPr>
              <w:t>季节时段</w:t>
            </w:r>
          </w:p>
        </w:tc>
        <w:tc>
          <w:tcPr>
            <w:tcW w:type="dxa" w:w="3061"/>
            <w:vAlign w:val="center"/>
            <w:shd w:fill="E7EEF2"/>
          </w:tcPr>
          <w:p>
            <w:pPr>
              <w:spacing w:after="0" w:line="264" w:lineRule="auto"/>
              <w:jc w:val="center"/>
            </w:pPr>
            <w:r>
              <w:rPr>
                <w:b/>
                <w:sz w:val="20"/>
              </w:rPr>
              <w:t>重点影响</w:t>
            </w:r>
          </w:p>
        </w:tc>
        <w:tc>
          <w:tcPr>
            <w:tcW w:type="dxa" w:w="5216"/>
            <w:vAlign w:val="center"/>
            <w:shd w:fill="E7EEF2"/>
          </w:tcPr>
          <w:p>
            <w:pPr>
              <w:spacing w:after="0" w:line="264" w:lineRule="auto"/>
              <w:jc w:val="center"/>
            </w:pPr>
            <w:r>
              <w:rPr>
                <w:b/>
                <w:sz w:val="20"/>
              </w:rPr>
              <w:t>建议安排</w:t>
            </w:r>
          </w:p>
        </w:tc>
      </w:tr>
      <w:tr>
        <w:trPr>
          <w:cantSplit/>
        </w:trPr>
        <w:tc>
          <w:tcPr>
            <w:tcW w:type="dxa" w:w="1361"/>
            <w:vAlign w:val="center"/>
            <w:shd w:fill="FFFFFF"/>
          </w:tcPr>
          <w:p>
            <w:pPr>
              <w:spacing w:after="0" w:line="264" w:lineRule="auto"/>
              <w:jc w:val="center"/>
            </w:pPr>
            <w:r>
              <w:rPr>
                <w:b w:val="0"/>
                <w:sz w:val="20"/>
              </w:rPr>
              <w:t>3—4月</w:t>
            </w:r>
          </w:p>
        </w:tc>
        <w:tc>
          <w:tcPr>
            <w:tcW w:type="dxa" w:w="3061"/>
            <w:vAlign w:val="center"/>
            <w:shd w:fill="FFFFFF"/>
          </w:tcPr>
          <w:p>
            <w:pPr>
              <w:spacing w:after="0" w:line="264" w:lineRule="auto"/>
              <w:jc w:val="left"/>
            </w:pPr>
            <w:r>
              <w:rPr>
                <w:b w:val="0"/>
                <w:sz w:val="20"/>
              </w:rPr>
              <w:t>转暖、降雨增加，晨晚条件不同</w:t>
            </w:r>
          </w:p>
        </w:tc>
        <w:tc>
          <w:tcPr>
            <w:tcW w:type="dxa" w:w="5216"/>
            <w:vAlign w:val="center"/>
            <w:shd w:fill="FFFFFF"/>
          </w:tcPr>
          <w:p>
            <w:pPr>
              <w:spacing w:after="0" w:line="264" w:lineRule="auto"/>
              <w:jc w:val="left"/>
            </w:pPr>
            <w:r>
              <w:rPr>
                <w:b w:val="0"/>
                <w:sz w:val="20"/>
              </w:rPr>
              <w:t>逐步增加户外课程，现场确认地面后开场；保留雨天改期。</w:t>
            </w:r>
          </w:p>
        </w:tc>
      </w:tr>
      <w:tr>
        <w:trPr>
          <w:cantSplit/>
        </w:trPr>
        <w:tc>
          <w:tcPr>
            <w:tcW w:type="dxa" w:w="1361"/>
            <w:vAlign w:val="center"/>
            <w:shd w:fill="F7F9FA"/>
          </w:tcPr>
          <w:p>
            <w:pPr>
              <w:spacing w:after="0" w:line="264" w:lineRule="auto"/>
              <w:jc w:val="center"/>
            </w:pPr>
            <w:r>
              <w:rPr>
                <w:b w:val="0"/>
                <w:sz w:val="20"/>
              </w:rPr>
              <w:t>5—6月</w:t>
            </w:r>
          </w:p>
        </w:tc>
        <w:tc>
          <w:tcPr>
            <w:tcW w:type="dxa" w:w="3061"/>
            <w:vAlign w:val="center"/>
            <w:shd w:fill="F7F9FA"/>
          </w:tcPr>
          <w:p>
            <w:pPr>
              <w:spacing w:after="0" w:line="264" w:lineRule="auto"/>
              <w:jc w:val="center"/>
            </w:pPr>
            <w:r>
              <w:rPr>
                <w:b w:val="0"/>
                <w:sz w:val="20"/>
              </w:rPr>
              <w:t>雨水较多，气温上升</w:t>
            </w:r>
          </w:p>
        </w:tc>
        <w:tc>
          <w:tcPr>
            <w:tcW w:type="dxa" w:w="5216"/>
            <w:vAlign w:val="center"/>
            <w:shd w:fill="F7F9FA"/>
          </w:tcPr>
          <w:p>
            <w:pPr>
              <w:spacing w:after="0" w:line="264" w:lineRule="auto"/>
              <w:jc w:val="left"/>
            </w:pPr>
            <w:r>
              <w:rPr>
                <w:b w:val="0"/>
                <w:sz w:val="20"/>
              </w:rPr>
              <w:t>加强排水清理和复场检查；减少无法改期的密集排课。</w:t>
            </w:r>
          </w:p>
        </w:tc>
      </w:tr>
      <w:tr>
        <w:trPr>
          <w:cantSplit/>
        </w:trPr>
        <w:tc>
          <w:tcPr>
            <w:tcW w:type="dxa" w:w="1361"/>
            <w:vAlign w:val="center"/>
            <w:shd w:fill="FFFFFF"/>
          </w:tcPr>
          <w:p>
            <w:pPr>
              <w:spacing w:after="0" w:line="264" w:lineRule="auto"/>
              <w:jc w:val="center"/>
            </w:pPr>
            <w:r>
              <w:rPr>
                <w:b w:val="0"/>
                <w:sz w:val="20"/>
              </w:rPr>
              <w:t>7—8月</w:t>
            </w:r>
          </w:p>
        </w:tc>
        <w:tc>
          <w:tcPr>
            <w:tcW w:type="dxa" w:w="3061"/>
            <w:vAlign w:val="center"/>
            <w:shd w:fill="FFFFFF"/>
          </w:tcPr>
          <w:p>
            <w:pPr>
              <w:spacing w:after="0" w:line="264" w:lineRule="auto"/>
              <w:jc w:val="center"/>
            </w:pPr>
            <w:r>
              <w:rPr>
                <w:b w:val="0"/>
                <w:sz w:val="20"/>
              </w:rPr>
              <w:t>炎热日晒与阵雨雷电叠加</w:t>
            </w:r>
          </w:p>
        </w:tc>
        <w:tc>
          <w:tcPr>
            <w:tcW w:type="dxa" w:w="5216"/>
            <w:vAlign w:val="center"/>
            <w:shd w:fill="FFFFFF"/>
          </w:tcPr>
          <w:p>
            <w:pPr>
              <w:spacing w:after="0" w:line="264" w:lineRule="auto"/>
              <w:jc w:val="left"/>
            </w:pPr>
            <w:r>
              <w:rPr>
                <w:b w:val="0"/>
                <w:sz w:val="20"/>
              </w:rPr>
              <w:t>早晚为主，逐场核对眩光和热环境；午后高强度活动灵活调整。</w:t>
            </w:r>
          </w:p>
        </w:tc>
      </w:tr>
      <w:tr>
        <w:trPr>
          <w:cantSplit/>
        </w:trPr>
        <w:tc>
          <w:tcPr>
            <w:tcW w:type="dxa" w:w="1361"/>
            <w:vAlign w:val="center"/>
            <w:shd w:fill="F7F9FA"/>
          </w:tcPr>
          <w:p>
            <w:pPr>
              <w:spacing w:after="0" w:line="264" w:lineRule="auto"/>
              <w:jc w:val="center"/>
            </w:pPr>
            <w:r>
              <w:rPr>
                <w:b w:val="0"/>
                <w:sz w:val="20"/>
              </w:rPr>
              <w:t>9—10月</w:t>
            </w:r>
          </w:p>
        </w:tc>
        <w:tc>
          <w:tcPr>
            <w:tcW w:type="dxa" w:w="3061"/>
            <w:vAlign w:val="center"/>
            <w:shd w:fill="F7F9FA"/>
          </w:tcPr>
          <w:p>
            <w:pPr>
              <w:spacing w:after="0" w:line="264" w:lineRule="auto"/>
              <w:jc w:val="center"/>
            </w:pPr>
            <w:r>
              <w:rPr>
                <w:b w:val="0"/>
                <w:sz w:val="20"/>
              </w:rPr>
              <w:t>余热、秋雨和较高湿度</w:t>
            </w:r>
          </w:p>
        </w:tc>
        <w:tc>
          <w:tcPr>
            <w:tcW w:type="dxa" w:w="5216"/>
            <w:vAlign w:val="center"/>
            <w:shd w:fill="F7F9FA"/>
          </w:tcPr>
          <w:p>
            <w:pPr>
              <w:spacing w:after="0" w:line="264" w:lineRule="auto"/>
              <w:jc w:val="left"/>
            </w:pPr>
            <w:r>
              <w:rPr>
                <w:b w:val="0"/>
                <w:sz w:val="20"/>
              </w:rPr>
              <w:t>赛事设置备用日期或可用替代场地；预留雨后恢复时间。</w:t>
            </w:r>
          </w:p>
        </w:tc>
      </w:tr>
      <w:tr>
        <w:trPr>
          <w:cantSplit/>
        </w:trPr>
        <w:tc>
          <w:tcPr>
            <w:tcW w:type="dxa" w:w="1361"/>
            <w:vAlign w:val="center"/>
            <w:shd w:fill="FFFFFF"/>
          </w:tcPr>
          <w:p>
            <w:pPr>
              <w:spacing w:after="0" w:line="264" w:lineRule="auto"/>
              <w:jc w:val="center"/>
            </w:pPr>
            <w:r>
              <w:rPr>
                <w:b w:val="0"/>
                <w:sz w:val="20"/>
              </w:rPr>
              <w:t>11—2月</w:t>
            </w:r>
          </w:p>
        </w:tc>
        <w:tc>
          <w:tcPr>
            <w:tcW w:type="dxa" w:w="3061"/>
            <w:vAlign w:val="center"/>
            <w:shd w:fill="FFFFFF"/>
          </w:tcPr>
          <w:p>
            <w:pPr>
              <w:spacing w:after="0" w:line="264" w:lineRule="auto"/>
              <w:jc w:val="center"/>
            </w:pPr>
            <w:r>
              <w:rPr>
                <w:b w:val="0"/>
                <w:sz w:val="20"/>
              </w:rPr>
              <w:t>低温、少日照、潮湿</w:t>
            </w:r>
          </w:p>
        </w:tc>
        <w:tc>
          <w:tcPr>
            <w:tcW w:type="dxa" w:w="5216"/>
            <w:vAlign w:val="center"/>
            <w:shd w:fill="FFFFFF"/>
          </w:tcPr>
          <w:p>
            <w:pPr>
              <w:spacing w:after="0" w:line="264" w:lineRule="auto"/>
              <w:jc w:val="left"/>
            </w:pPr>
            <w:r>
              <w:rPr>
                <w:b w:val="0"/>
                <w:sz w:val="20"/>
              </w:rPr>
              <w:t>优先日间短课，晨间和阴影区重点查露水、湿滑和能见度。</w:t>
            </w:r>
          </w:p>
        </w:tc>
      </w:tr>
    </w:tbl>
    <w:p>
      <w:pPr>
        <w:pStyle w:val="Heading2"/>
      </w:pPr>
      <w:r>
        <w:t>按活动和空间分别安排</w:t>
      </w:r>
    </w:p>
    <w:p>
      <w:r>
        <w:rPr>
          <w:b/>
        </w:rPr>
        <w:t xml:space="preserve">日常预约与培训。 </w:t>
      </w:r>
      <w:r>
        <w:t>分别记录篷房匹克球和网球场可用状态。青少年、成人、企业团建及公益培训按人数、强度和候场条件调整；一片球场可用不等于整场团建或培训可继续。</w:t>
      </w:r>
    </w:p>
    <w:p>
      <w:r>
        <w:rPr>
          <w:b/>
        </w:rPr>
        <w:t xml:space="preserve">比赛级场地及赛事。 </w:t>
      </w:r>
      <w:r>
        <w:t>赛事负责人应核对拟承办赛事的场地和天气要求，统筹比赛、热身、候赛、观众及人员疏散空间，预留中断、改期及替代安排。日常训练能够使用的条件，不直接等同于比赛可举办。</w:t>
      </w:r>
    </w:p>
    <w:p>
      <w:r>
        <w:rPr>
          <w:b/>
        </w:rPr>
        <w:t xml:space="preserve">分区停复场。 </w:t>
      </w:r>
      <w:r>
        <w:t>篷房匹克球重点检查热环境、凝露和飘雨；露天网球重点检查直接降雨、日晒和湿滑，若后续加盖则补充棚内检查；停车、通道及公共区域按各自状态开放。雷电或结构风险需要统一停用时，由负责人组织整体避险。</w:t>
      </w:r>
    </w:p>
    <w:p>
      <w:pPr>
        <w:pStyle w:val="Heading2"/>
      </w:pPr>
      <w:r>
        <w:t>统一由值班负责人决定并通知</w:t>
      </w:r>
    </w:p>
    <w:p>
      <w:r>
        <w:rPr>
          <w:b/>
        </w:rPr>
        <w:t xml:space="preserve">预约及开场前。 </w:t>
      </w:r>
      <w:r>
        <w:t>查看属地预报、预警和临近天气；巡查每片球场、通道、排水及设施。对有风险的场次提前通知用户调整，避免所有球场一律按同一条件开场。</w:t>
      </w:r>
    </w:p>
    <w:p>
      <w:r>
        <w:rPr>
          <w:b/>
        </w:rPr>
        <w:t xml:space="preserve">活动中。 </w:t>
      </w:r>
      <w:r>
        <w:t>出现积水、水膜湿滑、明显辨球困难、阵风影响设施或不适宜的热环境时，暂停或调整对应区域。雷电威胁时优先组织全体户外人员避险，不因某片球场有棚而继续活动。</w:t>
      </w:r>
    </w:p>
    <w:p>
      <w:r>
        <w:rPr>
          <w:b/>
        </w:rPr>
        <w:t xml:space="preserve">雷电避险。 </w:t>
      </w:r>
      <w:r>
        <w:t>听到雷声即停止户外活动，进入合适的封闭建筑或硬顶封闭车辆；开放凉棚和帐篷不是可靠雷电避难场所。可参考美国国家气象局建议，最后一次雷声后至少等待30分钟，再结合预警和现场条件恢复；新的雷声应重新计时。[7]</w:t>
      </w:r>
    </w:p>
    <w:p>
      <w:r>
        <w:rPr>
          <w:b/>
        </w:rPr>
        <w:t xml:space="preserve">雨后复场。 </w:t>
      </w:r>
      <w:r>
        <w:t>确认危险天气解除→检查棚体、围网及周边树木→清理积水与杂物→检查面层、缓冲区和通道→由负责人确认后分区开放。不要在湿滑状态下用高速跑动来验证是否安全。</w:t>
      </w:r>
    </w:p>
    <w:p>
      <w:r>
        <w:rPr>
          <w:b/>
        </w:rPr>
        <w:t xml:space="preserve">记录与复盘。 </w:t>
      </w:r>
      <w:r>
        <w:t>记下停场起止时刻、受影响球场、主要与叠加原因、处理措施和恢复依据。每月比较同类天气下各球场恢复差异，再调整清理、遮阳和预约安排。</w:t>
      </w:r>
    </w:p>
    <w:p>
      <w:r>
        <w:rPr>
          <w:b/>
        </w:rPr>
        <w:t>经营测算按球场类型分别记录计划开放、天气不可用和实际使用小时；同一时段的叠加天气只扣一次。提案的匹克球日均60%利用率属于经营假设，须明确分母：若以计划开放小时为分母，应说明已含多少天气损失；若以天气调整后的可用小时为分母，则先扣天气损失，再乘利用率。不得对同一损失重复扣减，也不得把60%当作气象数据验证结果。</w:t>
      </w:r>
    </w:p>
    <w:p>
      <w:r>
        <w:br w:type="page"/>
      </w:r>
    </w:p>
    <w:p>
      <w:pPr>
        <w:pStyle w:val="Heading1"/>
      </w:pPr>
      <w:r>
        <w:t>十  建设进度与分批开放条件</w:t>
      </w:r>
    </w:p>
    <w:p>
      <w:r>
        <w:rPr>
          <w:b w:val="0"/>
        </w:rPr>
        <w:t>提案第3.2节提出首批场地30—45天投入运营，第7.2节安排整体约7个月，并包含方案、主体、配套、试运营和开业阶段。[11] 两者可以对应不同批次，但应明确起算点、首批范围和前置条件。目前未给出实际开工月份，不能认定哪一道工序必然处于雨季或旱季。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90" w:type="dxa"/>
          <w:right w:w="90" w:type="dxa"/>
        </w:tblCellMar>
      </w:tblPr>
      <w:tblGrid>
        <w:gridCol w:w="1814"/>
        <w:gridCol w:w="3572"/>
        <w:gridCol w:w="4252"/>
      </w:tblGrid>
      <w:tr>
        <w:trPr>
          <w:cantSplit/>
          <w:tblHeader/>
        </w:trPr>
        <w:tc>
          <w:tcPr>
            <w:tcW w:type="dxa" w:w="1814"/>
            <w:vAlign w:val="center"/>
            <w:shd w:fill="E7EEF2"/>
          </w:tcPr>
          <w:p>
            <w:pPr>
              <w:spacing w:after="0" w:line="264" w:lineRule="auto"/>
              <w:jc w:val="center"/>
            </w:pPr>
            <w:r>
              <w:rPr>
                <w:b/>
                <w:sz w:val="20"/>
              </w:rPr>
              <w:t>建设阶段</w:t>
            </w:r>
          </w:p>
        </w:tc>
        <w:tc>
          <w:tcPr>
            <w:tcW w:type="dxa" w:w="3572"/>
            <w:vAlign w:val="center"/>
            <w:shd w:fill="E7EEF2"/>
          </w:tcPr>
          <w:p>
            <w:pPr>
              <w:spacing w:after="0" w:line="264" w:lineRule="auto"/>
              <w:jc w:val="center"/>
            </w:pPr>
            <w:r>
              <w:rPr>
                <w:b/>
                <w:sz w:val="20"/>
              </w:rPr>
              <w:t>天气相关制约</w:t>
            </w:r>
          </w:p>
        </w:tc>
        <w:tc>
          <w:tcPr>
            <w:tcW w:type="dxa" w:w="4252"/>
            <w:vAlign w:val="center"/>
            <w:shd w:fill="E7EEF2"/>
          </w:tcPr>
          <w:p>
            <w:pPr>
              <w:spacing w:after="0" w:line="264" w:lineRule="auto"/>
              <w:jc w:val="center"/>
            </w:pPr>
            <w:r>
              <w:rPr>
                <w:b/>
                <w:sz w:val="20"/>
              </w:rPr>
              <w:t>排期和验收建议</w:t>
            </w:r>
          </w:p>
        </w:tc>
      </w:tr>
      <w:tr>
        <w:trPr>
          <w:cantSplit/>
        </w:trPr>
        <w:tc>
          <w:tcPr>
            <w:tcW w:type="dxa" w:w="1814"/>
            <w:vAlign w:val="center"/>
            <w:shd w:fill="FFFFFF"/>
          </w:tcPr>
          <w:p>
            <w:pPr>
              <w:spacing w:after="0" w:line="264" w:lineRule="auto"/>
              <w:jc w:val="center"/>
            </w:pPr>
            <w:r>
              <w:rPr>
                <w:b w:val="0"/>
                <w:sz w:val="20"/>
              </w:rPr>
              <w:t>场平与基础设施</w:t>
            </w:r>
          </w:p>
        </w:tc>
        <w:tc>
          <w:tcPr>
            <w:tcW w:type="dxa" w:w="3572"/>
            <w:vAlign w:val="center"/>
            <w:shd w:fill="FFFFFF"/>
          </w:tcPr>
          <w:p>
            <w:pPr>
              <w:spacing w:after="0" w:line="264" w:lineRule="auto"/>
              <w:jc w:val="left"/>
            </w:pPr>
            <w:r>
              <w:rPr>
                <w:b w:val="0"/>
                <w:sz w:val="20"/>
              </w:rPr>
              <w:t>降雨可能影响填整、压实、基层含水及施工通行。</w:t>
            </w:r>
          </w:p>
        </w:tc>
        <w:tc>
          <w:tcPr>
            <w:tcW w:type="dxa" w:w="4252"/>
            <w:vAlign w:val="center"/>
            <w:shd w:fill="FFFFFF"/>
          </w:tcPr>
          <w:p>
            <w:pPr>
              <w:spacing w:after="0" w:line="264" w:lineRule="auto"/>
              <w:jc w:val="left"/>
            </w:pPr>
            <w:r>
              <w:rPr>
                <w:b w:val="0"/>
                <w:sz w:val="20"/>
              </w:rPr>
              <w:t>先形成施工排水路径，核查填整区状态；工期保留天气调整，不能仅按日历天推定完成。</w:t>
            </w:r>
          </w:p>
        </w:tc>
      </w:tr>
      <w:tr>
        <w:trPr>
          <w:cantSplit/>
        </w:trPr>
        <w:tc>
          <w:tcPr>
            <w:tcW w:type="dxa" w:w="1814"/>
            <w:vAlign w:val="center"/>
            <w:shd w:fill="F7F9FA"/>
          </w:tcPr>
          <w:p>
            <w:pPr>
              <w:spacing w:after="0" w:line="264" w:lineRule="auto"/>
              <w:jc w:val="center"/>
            </w:pPr>
            <w:r>
              <w:rPr>
                <w:b w:val="0"/>
                <w:sz w:val="20"/>
              </w:rPr>
              <w:t>球场基层与面层</w:t>
            </w:r>
          </w:p>
        </w:tc>
        <w:tc>
          <w:tcPr>
            <w:tcW w:type="dxa" w:w="3572"/>
            <w:vAlign w:val="center"/>
            <w:shd w:fill="F7F9FA"/>
          </w:tcPr>
          <w:p>
            <w:pPr>
              <w:spacing w:after="0" w:line="264" w:lineRule="auto"/>
              <w:jc w:val="left"/>
            </w:pPr>
            <w:r>
              <w:rPr>
                <w:b w:val="0"/>
                <w:sz w:val="20"/>
              </w:rPr>
              <w:t>温湿度、雨水及养护条件影响工序衔接。</w:t>
            </w:r>
          </w:p>
        </w:tc>
        <w:tc>
          <w:tcPr>
            <w:tcW w:type="dxa" w:w="4252"/>
            <w:vAlign w:val="center"/>
            <w:shd w:fill="F7F9FA"/>
          </w:tcPr>
          <w:p>
            <w:pPr>
              <w:spacing w:after="0" w:line="264" w:lineRule="auto"/>
              <w:jc w:val="left"/>
            </w:pPr>
            <w:r>
              <w:rPr>
                <w:b w:val="0"/>
                <w:sz w:val="20"/>
              </w:rPr>
              <w:t>按产品要求确认可施工和可开放条件，保护已完成面层，不能用加棚代替养护。</w:t>
            </w:r>
          </w:p>
        </w:tc>
      </w:tr>
      <w:tr>
        <w:trPr>
          <w:cantSplit/>
        </w:trPr>
        <w:tc>
          <w:tcPr>
            <w:tcW w:type="dxa" w:w="1814"/>
            <w:vAlign w:val="center"/>
            <w:shd w:fill="FFFFFF"/>
          </w:tcPr>
          <w:p>
            <w:pPr>
              <w:spacing w:after="0" w:line="264" w:lineRule="auto"/>
              <w:jc w:val="center"/>
            </w:pPr>
            <w:r>
              <w:rPr>
                <w:b w:val="0"/>
                <w:sz w:val="20"/>
              </w:rPr>
              <w:t>篷房及灯杆安装</w:t>
            </w:r>
          </w:p>
        </w:tc>
        <w:tc>
          <w:tcPr>
            <w:tcW w:type="dxa" w:w="3572"/>
            <w:vAlign w:val="center"/>
            <w:shd w:fill="FFFFFF"/>
          </w:tcPr>
          <w:p>
            <w:pPr>
              <w:spacing w:after="0" w:line="264" w:lineRule="auto"/>
              <w:jc w:val="left"/>
            </w:pPr>
            <w:r>
              <w:rPr>
                <w:b w:val="0"/>
                <w:sz w:val="20"/>
              </w:rPr>
              <w:t>风雨影响安装作业、支承面及连接检查。</w:t>
            </w:r>
          </w:p>
        </w:tc>
        <w:tc>
          <w:tcPr>
            <w:tcW w:type="dxa" w:w="4252"/>
            <w:vAlign w:val="center"/>
            <w:shd w:fill="FFFFFF"/>
          </w:tcPr>
          <w:p>
            <w:pPr>
              <w:spacing w:after="0" w:line="264" w:lineRule="auto"/>
              <w:jc w:val="left"/>
            </w:pPr>
            <w:r>
              <w:rPr>
                <w:b w:val="0"/>
                <w:sz w:val="20"/>
              </w:rPr>
              <w:t>按专业施工方案确定安装窗口和停工条件，验收后才能按规定使用。</w:t>
            </w:r>
          </w:p>
        </w:tc>
      </w:tr>
      <w:tr>
        <w:trPr>
          <w:cantSplit/>
        </w:trPr>
        <w:tc>
          <w:tcPr>
            <w:tcW w:type="dxa" w:w="1814"/>
            <w:vAlign w:val="center"/>
            <w:shd w:fill="F7F9FA"/>
          </w:tcPr>
          <w:p>
            <w:pPr>
              <w:spacing w:after="0" w:line="264" w:lineRule="auto"/>
              <w:jc w:val="center"/>
            </w:pPr>
            <w:r>
              <w:rPr>
                <w:b w:val="0"/>
                <w:sz w:val="20"/>
              </w:rPr>
              <w:t>配套与通道</w:t>
            </w:r>
          </w:p>
        </w:tc>
        <w:tc>
          <w:tcPr>
            <w:tcW w:type="dxa" w:w="3572"/>
            <w:vAlign w:val="center"/>
            <w:shd w:fill="F7F9FA"/>
          </w:tcPr>
          <w:p>
            <w:pPr>
              <w:spacing w:after="0" w:line="264" w:lineRule="auto"/>
              <w:jc w:val="left"/>
            </w:pPr>
            <w:r>
              <w:rPr>
                <w:b w:val="0"/>
                <w:sz w:val="20"/>
              </w:rPr>
              <w:t>部分完工状态可能造成排水、供电或疏散路线不连续。</w:t>
            </w:r>
          </w:p>
        </w:tc>
        <w:tc>
          <w:tcPr>
            <w:tcW w:type="dxa" w:w="4252"/>
            <w:vAlign w:val="center"/>
            <w:shd w:fill="F7F9FA"/>
          </w:tcPr>
          <w:p>
            <w:pPr>
              <w:spacing w:after="0" w:line="264" w:lineRule="auto"/>
              <w:jc w:val="left"/>
            </w:pPr>
            <w:r>
              <w:rPr>
                <w:b w:val="0"/>
                <w:sz w:val="20"/>
              </w:rPr>
              <w:t>首批开放范围必须拥有独立可用的排水、用电、接待和避险条件，并与施工区域安全分隔。</w:t>
            </w:r>
          </w:p>
        </w:tc>
      </w:tr>
      <w:tr>
        <w:trPr>
          <w:cantSplit/>
        </w:trPr>
        <w:tc>
          <w:tcPr>
            <w:tcW w:type="dxa" w:w="1814"/>
            <w:vAlign w:val="center"/>
            <w:shd w:fill="FFFFFF"/>
          </w:tcPr>
          <w:p>
            <w:pPr>
              <w:spacing w:after="0" w:line="264" w:lineRule="auto"/>
              <w:jc w:val="center"/>
            </w:pPr>
            <w:r>
              <w:rPr>
                <w:b w:val="0"/>
                <w:sz w:val="20"/>
              </w:rPr>
              <w:t>试运营及开业</w:t>
            </w:r>
          </w:p>
        </w:tc>
        <w:tc>
          <w:tcPr>
            <w:tcW w:type="dxa" w:w="3572"/>
            <w:vAlign w:val="center"/>
            <w:shd w:fill="FFFFFF"/>
          </w:tcPr>
          <w:p>
            <w:pPr>
              <w:spacing w:after="0" w:line="264" w:lineRule="auto"/>
              <w:jc w:val="left"/>
            </w:pPr>
            <w:r>
              <w:rPr>
                <w:b w:val="0"/>
                <w:sz w:val="20"/>
              </w:rPr>
              <w:t>未经历典型天气时，难以验证棚内热环境和雨后恢复。</w:t>
            </w:r>
          </w:p>
        </w:tc>
        <w:tc>
          <w:tcPr>
            <w:tcW w:type="dxa" w:w="4252"/>
            <w:vAlign w:val="center"/>
            <w:shd w:fill="FFFFFF"/>
          </w:tcPr>
          <w:p>
            <w:pPr>
              <w:spacing w:after="0" w:line="264" w:lineRule="auto"/>
              <w:jc w:val="left"/>
            </w:pPr>
            <w:r>
              <w:rPr>
                <w:b w:val="0"/>
                <w:sz w:val="20"/>
              </w:rPr>
              <w:t>完成淋水、设备及应急检查；开业后继续记录实际降雨、热环境和风况，不把短期试用视为全年性能已验证。</w:t>
            </w:r>
          </w:p>
        </w:tc>
      </w:tr>
    </w:tbl>
    <w:p>
      <w:pPr>
        <w:pStyle w:val="Heading2"/>
      </w:pPr>
      <w:r>
        <w:t>首批投用前应确认</w:t>
      </w:r>
    </w:p>
    <w:p>
      <w:r>
        <w:rPr>
          <w:b w:val="0"/>
        </w:rPr>
        <w:t>明确首批开放球场编号、篷房覆盖和围合状态、适用的天气限制；检查球场至入口、服务区及避难空间的连续可用性；完成屋面及地面排水、电气保护、支承与连接、照明和人员通知流程的验收或演练。不能仅凭篷房搭建完成或到达30—45天节点就承诺开业。</w:t>
      </w:r>
    </w:p>
    <w:p>
      <w:pPr>
        <w:pStyle w:val="Heading2"/>
      </w:pPr>
      <w:r>
        <w:t>进度表的表达方式</w:t>
      </w:r>
    </w:p>
    <w:p>
      <w:r>
        <w:rPr>
          <w:b w:val="0"/>
        </w:rPr>
        <w:t>建议将“首批安装时间”“具备开放条件的时间”和“整体开业时间”分别列示，并标明场平交付、材料养护、配套完成及验收等前提。施工天气余量应结合实际开工日期和工艺安排确定，本报告不擅自给出统一延误天数。</w:t>
      </w:r>
    </w:p>
    <w:p>
      <w:r>
        <w:br w:type="page"/>
      </w:r>
    </w:p>
    <w:p>
      <w:pPr>
        <w:pStyle w:val="Heading1"/>
      </w:pPr>
      <w:r>
        <w:t>十一  设计施工验收与现场补测清单</w:t>
      </w:r>
    </w:p>
    <w:p>
      <w:pPr>
        <w:pStyle w:val="Heading2"/>
      </w:pPr>
      <w:r>
        <w:t>近期应形成的具体成果</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5" w:type="dxa"/>
          <w:bottom w:w="65" w:type="dxa"/>
          <w:left w:w="90" w:type="dxa"/>
          <w:right w:w="90" w:type="dxa"/>
        </w:tblCellMar>
      </w:tblPr>
      <w:tblGrid>
        <w:gridCol w:w="1701"/>
        <w:gridCol w:w="4706"/>
        <w:gridCol w:w="3231"/>
      </w:tblGrid>
      <w:tr>
        <w:trPr>
          <w:cantSplit/>
          <w:tblHeader/>
        </w:trPr>
        <w:tc>
          <w:tcPr>
            <w:tcW w:type="dxa" w:w="1701"/>
            <w:vAlign w:val="center"/>
            <w:shd w:fill="E7EEF2"/>
          </w:tcPr>
          <w:p>
            <w:pPr>
              <w:spacing w:after="0" w:line="264" w:lineRule="auto"/>
              <w:jc w:val="center"/>
            </w:pPr>
            <w:r>
              <w:rPr>
                <w:b/>
                <w:sz w:val="20"/>
              </w:rPr>
              <w:t>责任环节</w:t>
            </w:r>
          </w:p>
        </w:tc>
        <w:tc>
          <w:tcPr>
            <w:tcW w:type="dxa" w:w="4706"/>
            <w:vAlign w:val="center"/>
            <w:shd w:fill="E7EEF2"/>
          </w:tcPr>
          <w:p>
            <w:pPr>
              <w:spacing w:after="0" w:line="264" w:lineRule="auto"/>
              <w:jc w:val="center"/>
            </w:pPr>
            <w:r>
              <w:rPr>
                <w:b/>
                <w:sz w:val="20"/>
              </w:rPr>
              <w:t>应交付或核对的内容</w:t>
            </w:r>
          </w:p>
        </w:tc>
        <w:tc>
          <w:tcPr>
            <w:tcW w:type="dxa" w:w="3231"/>
            <w:vAlign w:val="center"/>
            <w:shd w:fill="E7EEF2"/>
          </w:tcPr>
          <w:p>
            <w:pPr>
              <w:spacing w:after="0" w:line="264" w:lineRule="auto"/>
              <w:jc w:val="center"/>
            </w:pPr>
            <w:r>
              <w:rPr>
                <w:b/>
                <w:sz w:val="20"/>
              </w:rPr>
              <w:t>验证方式</w:t>
            </w:r>
          </w:p>
        </w:tc>
      </w:tr>
      <w:tr>
        <w:trPr>
          <w:cantSplit/>
        </w:trPr>
        <w:tc>
          <w:tcPr>
            <w:tcW w:type="dxa" w:w="1701"/>
            <w:vAlign w:val="center"/>
            <w:shd w:fill="FFFFFF"/>
          </w:tcPr>
          <w:p>
            <w:pPr>
              <w:spacing w:after="0" w:line="264" w:lineRule="auto"/>
              <w:jc w:val="center"/>
            </w:pPr>
            <w:r>
              <w:rPr>
                <w:b w:val="0"/>
                <w:sz w:val="20"/>
              </w:rPr>
              <w:t>森兰及设计方</w:t>
            </w:r>
          </w:p>
        </w:tc>
        <w:tc>
          <w:tcPr>
            <w:tcW w:type="dxa" w:w="4706"/>
            <w:vAlign w:val="center"/>
            <w:shd w:fill="FFFFFF"/>
          </w:tcPr>
          <w:p>
            <w:pPr>
              <w:spacing w:after="0" w:line="264" w:lineRule="auto"/>
              <w:jc w:val="left"/>
            </w:pPr>
            <w:r>
              <w:rPr>
                <w:b w:val="0"/>
                <w:sz w:val="20"/>
              </w:rPr>
              <w:t>18片匹克球和6块网球总图、逐片覆盖状态、现状高程及屋面与地面排水</w:t>
            </w:r>
          </w:p>
        </w:tc>
        <w:tc>
          <w:tcPr>
            <w:tcW w:type="dxa" w:w="3231"/>
            <w:vAlign w:val="center"/>
            <w:shd w:fill="FFFFFF"/>
          </w:tcPr>
          <w:p>
            <w:pPr>
              <w:spacing w:after="0" w:line="264" w:lineRule="auto"/>
              <w:jc w:val="left"/>
            </w:pPr>
            <w:r>
              <w:rPr>
                <w:b w:val="0"/>
                <w:sz w:val="20"/>
              </w:rPr>
              <w:t>总图与竖向核对、现场踏勘；确认下游可承接。</w:t>
            </w:r>
          </w:p>
        </w:tc>
      </w:tr>
      <w:tr>
        <w:trPr>
          <w:cantSplit/>
        </w:trPr>
        <w:tc>
          <w:tcPr>
            <w:tcW w:type="dxa" w:w="1701"/>
            <w:vAlign w:val="center"/>
            <w:shd w:fill="F7F9FA"/>
          </w:tcPr>
          <w:p>
            <w:pPr>
              <w:spacing w:after="0" w:line="264" w:lineRule="auto"/>
              <w:jc w:val="center"/>
            </w:pPr>
            <w:r>
              <w:rPr>
                <w:b w:val="0"/>
                <w:sz w:val="20"/>
              </w:rPr>
              <w:t>场地设计</w:t>
            </w:r>
          </w:p>
        </w:tc>
        <w:tc>
          <w:tcPr>
            <w:tcW w:type="dxa" w:w="4706"/>
            <w:vAlign w:val="center"/>
            <w:shd w:fill="F7F9FA"/>
          </w:tcPr>
          <w:p>
            <w:pPr>
              <w:spacing w:after="0" w:line="264" w:lineRule="auto"/>
              <w:jc w:val="left"/>
            </w:pPr>
            <w:r>
              <w:rPr>
                <w:b w:val="0"/>
                <w:sz w:val="20"/>
              </w:rPr>
              <w:t>朝向、典型时段遮阳、候场补水、棚下通风与运动净空</w:t>
            </w:r>
          </w:p>
        </w:tc>
        <w:tc>
          <w:tcPr>
            <w:tcW w:type="dxa" w:w="3231"/>
            <w:vAlign w:val="center"/>
            <w:shd w:fill="F7F9FA"/>
          </w:tcPr>
          <w:p>
            <w:pPr>
              <w:spacing w:after="0" w:line="264" w:lineRule="auto"/>
              <w:jc w:val="left"/>
            </w:pPr>
            <w:r>
              <w:rPr>
                <w:b w:val="0"/>
                <w:sz w:val="20"/>
              </w:rPr>
              <w:t>日影比选、场地样板和两端视线检查。</w:t>
            </w:r>
          </w:p>
        </w:tc>
      </w:tr>
      <w:tr>
        <w:trPr>
          <w:cantSplit/>
        </w:trPr>
        <w:tc>
          <w:tcPr>
            <w:tcW w:type="dxa" w:w="1701"/>
            <w:vAlign w:val="center"/>
            <w:shd w:fill="FFFFFF"/>
          </w:tcPr>
          <w:p>
            <w:pPr>
              <w:spacing w:after="0" w:line="264" w:lineRule="auto"/>
              <w:jc w:val="center"/>
            </w:pPr>
            <w:r>
              <w:rPr>
                <w:b w:val="0"/>
                <w:sz w:val="20"/>
              </w:rPr>
              <w:t>施工与供应商</w:t>
            </w:r>
          </w:p>
        </w:tc>
        <w:tc>
          <w:tcPr>
            <w:tcW w:type="dxa" w:w="4706"/>
            <w:vAlign w:val="center"/>
            <w:shd w:fill="FFFFFF"/>
          </w:tcPr>
          <w:p>
            <w:pPr>
              <w:spacing w:after="0" w:line="264" w:lineRule="auto"/>
              <w:jc w:val="left"/>
            </w:pPr>
            <w:r>
              <w:rPr>
                <w:b w:val="0"/>
                <w:sz w:val="20"/>
              </w:rPr>
              <w:t>面层和基层体系、温湿度施工条件、养护和清洁说明</w:t>
            </w:r>
          </w:p>
        </w:tc>
        <w:tc>
          <w:tcPr>
            <w:tcW w:type="dxa" w:w="3231"/>
            <w:vAlign w:val="center"/>
            <w:shd w:fill="FFFFFF"/>
          </w:tcPr>
          <w:p>
            <w:pPr>
              <w:spacing w:after="0" w:line="264" w:lineRule="auto"/>
              <w:jc w:val="left"/>
            </w:pPr>
            <w:r>
              <w:rPr>
                <w:b w:val="0"/>
                <w:sz w:val="20"/>
              </w:rPr>
              <w:t>材料资料、过程记录、淋水及实雨检查。</w:t>
            </w:r>
          </w:p>
        </w:tc>
      </w:tr>
      <w:tr>
        <w:trPr>
          <w:cantSplit/>
        </w:trPr>
        <w:tc>
          <w:tcPr>
            <w:tcW w:type="dxa" w:w="1701"/>
            <w:vAlign w:val="center"/>
            <w:shd w:fill="F7F9FA"/>
          </w:tcPr>
          <w:p>
            <w:pPr>
              <w:spacing w:after="0" w:line="264" w:lineRule="auto"/>
              <w:jc w:val="center"/>
            </w:pPr>
            <w:r>
              <w:rPr>
                <w:b w:val="0"/>
                <w:sz w:val="20"/>
              </w:rPr>
              <w:t>结构与设备专业</w:t>
            </w:r>
          </w:p>
        </w:tc>
        <w:tc>
          <w:tcPr>
            <w:tcW w:type="dxa" w:w="4706"/>
            <w:vAlign w:val="center"/>
            <w:shd w:fill="F7F9FA"/>
          </w:tcPr>
          <w:p>
            <w:pPr>
              <w:spacing w:after="0" w:line="264" w:lineRule="auto"/>
              <w:jc w:val="left"/>
            </w:pPr>
            <w:r>
              <w:rPr>
                <w:b w:val="0"/>
                <w:sz w:val="20"/>
              </w:rPr>
              <w:t>篷房支承配重、侧幕开闭状态、配重式灯杆、地面线路遇水保护</w:t>
            </w:r>
          </w:p>
        </w:tc>
        <w:tc>
          <w:tcPr>
            <w:tcW w:type="dxa" w:w="3231"/>
            <w:vAlign w:val="center"/>
            <w:shd w:fill="F7F9FA"/>
          </w:tcPr>
          <w:p>
            <w:pPr>
              <w:spacing w:after="0" w:line="264" w:lineRule="auto"/>
              <w:jc w:val="left"/>
            </w:pPr>
            <w:r>
              <w:rPr>
                <w:b w:val="0"/>
                <w:sz w:val="20"/>
              </w:rPr>
              <w:t>专业设计与供应商文件、安装验收及雨后巡检。</w:t>
            </w:r>
          </w:p>
        </w:tc>
      </w:tr>
      <w:tr>
        <w:trPr>
          <w:cantSplit/>
        </w:trPr>
        <w:tc>
          <w:tcPr>
            <w:tcW w:type="dxa" w:w="1701"/>
            <w:vAlign w:val="center"/>
            <w:shd w:fill="FFFFFF"/>
          </w:tcPr>
          <w:p>
            <w:pPr>
              <w:spacing w:after="0" w:line="264" w:lineRule="auto"/>
              <w:jc w:val="center"/>
            </w:pPr>
            <w:r>
              <w:rPr>
                <w:b w:val="0"/>
                <w:sz w:val="20"/>
              </w:rPr>
              <w:t>运营团队</w:t>
            </w:r>
          </w:p>
        </w:tc>
        <w:tc>
          <w:tcPr>
            <w:tcW w:type="dxa" w:w="4706"/>
            <w:vAlign w:val="center"/>
            <w:shd w:fill="FFFFFF"/>
          </w:tcPr>
          <w:p>
            <w:pPr>
              <w:spacing w:after="0" w:line="264" w:lineRule="auto"/>
              <w:jc w:val="left"/>
            </w:pPr>
            <w:r>
              <w:rPr>
                <w:b w:val="0"/>
                <w:sz w:val="20"/>
              </w:rPr>
              <w:t>按场地类型和活动规模制定天气通知、停复场、候场避难及预约调整办法</w:t>
            </w:r>
          </w:p>
        </w:tc>
        <w:tc>
          <w:tcPr>
            <w:tcW w:type="dxa" w:w="3231"/>
            <w:vAlign w:val="center"/>
            <w:shd w:fill="FFFFFF"/>
          </w:tcPr>
          <w:p>
            <w:pPr>
              <w:spacing w:after="0" w:line="264" w:lineRule="auto"/>
              <w:jc w:val="left"/>
            </w:pPr>
            <w:r>
              <w:rPr>
                <w:b w:val="0"/>
                <w:sz w:val="20"/>
              </w:rPr>
              <w:t>分批开业检查、赛事演练、试运营记录。</w:t>
            </w:r>
          </w:p>
        </w:tc>
      </w:tr>
    </w:tbl>
    <w:p>
      <w:pPr>
        <w:pStyle w:val="Heading2"/>
      </w:pPr>
      <w:r>
        <w:t>只补测直接影响决策的信息</w:t>
      </w:r>
    </w:p>
    <w:p>
      <w:r>
        <w:rPr>
          <w:b w:val="0"/>
        </w:rPr>
        <w:t>建议在匹克球篷房中部与边缘、网球场、候场服务区和开敞迎风边缘开展同步记录，并注明篷房侧幕开闭状态；测点数量根据实际布局确定。测量高度、仪器型号、时间间隔和安装遮挡条件应留档，同一指标尽量保持可比。场内体验测点不等同于标准气象站，不能用短期读数代替长期气候统计。</w:t>
      </w:r>
    </w:p>
    <w:p>
      <w:r>
        <w:rPr>
          <w:b/>
        </w:rPr>
        <w:t xml:space="preserve">温度与光线。 </w:t>
      </w:r>
      <w:r>
        <w:t>记录运动区、休息区的温湿度与受光情况；典型晴天比较面层温度及早晚两端眩光。条件允许时增加WBGT测量。夜间检查照明后的辨球与眩光，不只看地面是否明亮。</w:t>
      </w:r>
    </w:p>
    <w:p>
      <w:r>
        <w:rPr>
          <w:b/>
        </w:rPr>
        <w:t xml:space="preserve">降雨与地面。 </w:t>
      </w:r>
      <w:r>
        <w:t>记录降雨起止、受影响球场、积水位置、清理时长和真正恢复时间；需要雨强分析时使用适当的雨量记录，并保留缺测与校准信息。</w:t>
      </w:r>
    </w:p>
    <w:p>
      <w:r>
        <w:rPr>
          <w:b/>
        </w:rPr>
        <w:t xml:space="preserve">风与湿度。 </w:t>
      </w:r>
      <w:r>
        <w:t>记录平均风、阵风、风向与实际控球反馈，区分测量统计时段；在晨露、阴雨后及棚下检查表面湿滑与滴水。不能用普通温湿度仪替代雨量或阵风监测。</w:t>
      </w:r>
    </w:p>
    <w:p>
      <w:r>
        <w:rPr>
          <w:b/>
        </w:rPr>
        <w:t xml:space="preserve">历史资料。 </w:t>
      </w:r>
      <w:r>
        <w:t>以地块红线坐标向属地气象、水文部门核对可用站点的站号、坐标、海拔、迁站情况、统计期及数据完整性，再判断代表性。优先获取逐时气温、湿度、降雨和风资料；针对光线使用经核实的地块地形与遮挡模型。</w:t>
      </w:r>
    </w:p>
    <w:p>
      <w:pPr>
        <w:pStyle w:val="Heading2"/>
      </w:pPr>
      <w:r>
        <w:t>如何评价投入是否有效</w:t>
      </w:r>
    </w:p>
    <w:p>
      <w:r>
        <w:rPr>
          <w:b w:val="0"/>
        </w:rPr>
        <w:t>评估提案拟建篷房及相关措施的实际效果：分别比较棚内中部、棚边和网球场的天气停场小时、恢复时间及体验反馈，注明不同天气与使用条件。对后续优化投入，按改善的可用小时、预约需求及维护成本评价，不把棚面面积直接等同于新增收入。</w:t>
      </w:r>
    </w:p>
    <w:p>
      <w:r>
        <w:rPr>
          <w:b/>
        </w:rPr>
        <w:t>本阶段按提案的篷房匹克球场及配套形式明确设计任务；网球覆盖形式、篷房细节和分批开放范围仍需确认。全年有效营业天数、停用风速及复场时间应在专业方案、代表性气象资料和试运营记录齐备后核定，不直接由提案目标或区域均值推导。</w:t>
      </w:r>
    </w:p>
    <w:p>
      <w:r>
        <w:br w:type="page"/>
      </w:r>
    </w:p>
    <w:p>
      <w:pPr>
        <w:pStyle w:val="Heading1"/>
      </w:pPr>
      <w:r>
        <w:t>资料来源与引用说明</w:t>
      </w:r>
    </w:p>
    <w:p>
      <w:r>
        <w:rPr>
          <w:b w:val="0"/>
          <w:sz w:val="20"/>
        </w:rPr>
        <w:t>数据及技术资料检索核对截至2026年9月26日。文中来源编号对应如下；历史观测、公开转引和技术建议分别标注。海外运动及气象指南用于技术参考，不替代中国现行设计、管理要求或本地专业核定。</w:t>
      </w:r>
    </w:p>
    <w:p>
      <w:pPr>
        <w:spacing w:after="120"/>
      </w:pPr>
      <w:r>
        <w:rPr>
          <w:b w:val="0"/>
          <w:sz w:val="19"/>
        </w:rPr>
        <w:t xml:space="preserve">[1] </w:t>
      </w:r>
      <w:hyperlink r:id="rId10">
        <w:r>
          <w:rPr>
            <w:color w:val="245A73"/>
            <w:sz w:val="19"/>
          </w:rPr>
          <w:t>重庆轨道交通6号线东延工程环境影响报告书 公示版</w:t>
        </w:r>
      </w:hyperlink>
      <w:r>
        <w:rPr>
          <w:sz w:val="19"/>
        </w:rPr>
        <w:br/>
        <w:t>重庆市生态环境局网站2022年公开；正文第128页（PDF第135页）降水段明确转引“南山气象站资料”。采用年均降水1082.6毫米及5—9月约占70%；未取得该站原始序列及元数据。</w:t>
      </w:r>
    </w:p>
    <w:p>
      <w:pPr>
        <w:spacing w:after="120"/>
      </w:pPr>
      <w:r>
        <w:rPr>
          <w:b w:val="0"/>
          <w:sz w:val="19"/>
        </w:rPr>
        <w:t xml:space="preserve">[2] </w:t>
      </w:r>
      <w:hyperlink r:id="rId11">
        <w:r>
          <w:rPr>
            <w:color w:val="245A73"/>
            <w:sz w:val="19"/>
          </w:rPr>
          <w:t>重庆市大部地区出现暴雨到大暴雨 最大雨量超315毫米</w:t>
        </w:r>
      </w:hyperlink>
      <w:r>
        <w:rPr>
          <w:sz w:val="19"/>
        </w:rPr>
        <w:br/>
        <w:t>财联社，2025年7月9日；报道明确引自重庆市水文监测总站。采用龙井村24小时雨量315.5毫米，属于新闻转引，未取得逐时原始记录。</w:t>
      </w:r>
    </w:p>
    <w:p>
      <w:pPr>
        <w:spacing w:after="120"/>
      </w:pPr>
      <w:r>
        <w:rPr>
          <w:b w:val="0"/>
          <w:sz w:val="19"/>
        </w:rPr>
        <w:t xml:space="preserve">[3] </w:t>
      </w:r>
      <w:hyperlink r:id="rId12">
        <w:r>
          <w:rPr>
            <w:color w:val="245A73"/>
            <w:sz w:val="19"/>
          </w:rPr>
          <w:t>重庆经开区气候可行性论证区域整体评价报告</w:t>
        </w:r>
      </w:hyperlink>
      <w:r>
        <w:rPr>
          <w:sz w:val="19"/>
        </w:rPr>
        <w:br/>
        <w:t>重庆市气候中心，2021年8月；正文第35页表4-1（PDF第47页），沙坪坝站1991—2020年气候统计。逐月数值已核对原表。原报告有效期截至2026年8月31日，本专题仅引用历史数据，不援引其论证结论作为地块审批或设计依据。</w:t>
      </w:r>
    </w:p>
    <w:p>
      <w:pPr>
        <w:spacing w:after="120"/>
      </w:pPr>
      <w:r>
        <w:rPr>
          <w:b w:val="0"/>
          <w:sz w:val="19"/>
        </w:rPr>
        <w:t xml:space="preserve">[4] </w:t>
      </w:r>
      <w:hyperlink r:id="rId13">
        <w:r>
          <w:rPr>
            <w:color w:val="245A73"/>
            <w:sz w:val="19"/>
          </w:rPr>
          <w:t>重要气象信息专报 2025年第23期</w:t>
        </w:r>
      </w:hyperlink>
      <w:r>
        <w:rPr>
          <w:sz w:val="19"/>
        </w:rPr>
        <w:br/>
        <w:t>重庆市气象局，2025年7月30日；采用中心城区2025年5月1日至7月29日已发生的37℃以上高温日统计，未采用后续预测作为事实。</w:t>
      </w:r>
    </w:p>
    <w:p>
      <w:pPr>
        <w:spacing w:after="120"/>
      </w:pPr>
      <w:r>
        <w:rPr>
          <w:b w:val="0"/>
          <w:sz w:val="19"/>
        </w:rPr>
        <w:t xml:space="preserve">[5] </w:t>
      </w:r>
      <w:hyperlink r:id="rId14">
        <w:r>
          <w:rPr>
            <w:color w:val="245A73"/>
            <w:sz w:val="19"/>
          </w:rPr>
          <w:t>Pickleball Court Construction Lighting and Shading</w:t>
        </w:r>
      </w:hyperlink>
      <w:r>
        <w:rPr>
          <w:sz w:val="19"/>
        </w:rPr>
        <w:br/>
        <w:t>USA Pickleball；露天匹克球场南北向布局及避免早晚直视太阳的参考。</w:t>
      </w:r>
    </w:p>
    <w:p>
      <w:pPr>
        <w:spacing w:after="120"/>
      </w:pPr>
      <w:r>
        <w:rPr>
          <w:b w:val="0"/>
          <w:sz w:val="19"/>
        </w:rPr>
        <w:t xml:space="preserve">[6] </w:t>
      </w:r>
      <w:hyperlink r:id="rId15">
        <w:r>
          <w:rPr>
            <w:color w:val="245A73"/>
            <w:sz w:val="19"/>
          </w:rPr>
          <w:t>Heat Hazard Recognition</w:t>
        </w:r>
      </w:hyperlink>
      <w:r>
        <w:rPr>
          <w:sz w:val="19"/>
        </w:rPr>
        <w:br/>
        <w:t>美国职业安全与健康管理局；用于热环境影响因素和WBGT概念参考，不移用职业暴露限值作为大众运动停场标准。</w:t>
      </w:r>
    </w:p>
    <w:p>
      <w:pPr>
        <w:spacing w:after="120"/>
      </w:pPr>
      <w:r>
        <w:rPr>
          <w:b w:val="0"/>
          <w:sz w:val="19"/>
        </w:rPr>
        <w:t xml:space="preserve">[7] </w:t>
      </w:r>
      <w:hyperlink r:id="rId16">
        <w:r>
          <w:rPr>
            <w:color w:val="245A73"/>
            <w:sz w:val="19"/>
          </w:rPr>
          <w:t>Lightning Safety and Outdoor Sports Activities</w:t>
        </w:r>
      </w:hyperlink>
      <w:r>
        <w:rPr>
          <w:sz w:val="19"/>
        </w:rPr>
        <w:br/>
        <w:t>美国国家气象局；采用雷声触发避险、避难空间与最后雷声后等待至少30分钟的建议。</w:t>
      </w:r>
    </w:p>
    <w:p>
      <w:pPr>
        <w:spacing w:after="120"/>
      </w:pPr>
      <w:r>
        <w:rPr>
          <w:b w:val="0"/>
          <w:sz w:val="19"/>
        </w:rPr>
        <w:t xml:space="preserve">[8] </w:t>
      </w:r>
      <w:hyperlink r:id="rId17">
        <w:r>
          <w:rPr>
            <w:color w:val="245A73"/>
            <w:sz w:val="19"/>
          </w:rPr>
          <w:t>Court Construction</w:t>
        </w:r>
      </w:hyperlink>
      <w:r>
        <w:rPr>
          <w:sz w:val="19"/>
        </w:rPr>
        <w:br/>
        <w:t>国际网球联合会ITF，2019年11月；不同场地表面与基层构造的指导材料，文件明确详细规格应由顾问或供应商确定。本报告不直接套用其结构厚度。</w:t>
      </w:r>
    </w:p>
    <w:p>
      <w:pPr>
        <w:spacing w:after="120"/>
      </w:pPr>
      <w:r>
        <w:rPr>
          <w:b w:val="0"/>
          <w:sz w:val="19"/>
        </w:rPr>
        <w:t xml:space="preserve">[9] </w:t>
      </w:r>
      <w:hyperlink r:id="rId18">
        <w:r>
          <w:rPr>
            <w:color w:val="245A73"/>
            <w:sz w:val="19"/>
          </w:rPr>
          <w:t>Discussion on Humidity</w:t>
        </w:r>
      </w:hyperlink>
      <w:r>
        <w:rPr>
          <w:sz w:val="19"/>
        </w:rPr>
        <w:br/>
        <w:t>美国国家气象局；用于解释相对湿度、气温与露点的关系，不用于推算本地块实际凝露次数。</w:t>
      </w:r>
    </w:p>
    <w:p>
      <w:pPr>
        <w:spacing w:after="120"/>
      </w:pPr>
      <w:r>
        <w:rPr>
          <w:b w:val="0"/>
          <w:sz w:val="19"/>
        </w:rPr>
        <w:t xml:space="preserve">[10] </w:t>
      </w:r>
      <w:hyperlink r:id="rId19">
        <w:r>
          <w:rPr>
            <w:color w:val="245A73"/>
            <w:sz w:val="19"/>
          </w:rPr>
          <w:t>Radiation The ultraviolet UV index</w:t>
        </w:r>
      </w:hyperlink>
      <w:r>
        <w:rPr>
          <w:sz w:val="19"/>
        </w:rPr>
        <w:br/>
        <w:t>世界卫生组织，2022年6月20日；紫外线指数及防晒建议，非南山紫外线观测。</w:t>
      </w:r>
    </w:p>
    <w:p>
      <w:pPr>
        <w:spacing w:after="120"/>
      </w:pPr>
      <w:r>
        <w:rPr>
          <w:b w:val="0"/>
          <w:sz w:val="19"/>
        </w:rPr>
        <w:t xml:space="preserve">[11] </w:t>
      </w:r>
      <w:r>
        <w:rPr>
          <w:b/>
        </w:rPr>
        <w:t>南山森兰匹克球运动公园策划提案</w:t>
      </w:r>
      <w:r>
        <w:rPr>
          <w:sz w:val="19"/>
        </w:rPr>
        <w:br/>
        <w:t>用户提供，2026年9月版，提案方上海森兰公司、提案对象南山管理委员会。采用第2.4、3.1—3.3节的设施及运营安排、第5.1节的60%利用率假设、第7.1—7.2节的建设和进度设想。此为项目规划依据，不作为设施性能、气候实测或经营结果的证据。</w:t>
      </w:r>
    </w:p>
    <w:p>
      <w:r>
        <w:rPr>
          <w:b w:val="0"/>
          <w:sz w:val="19"/>
        </w:rPr>
        <w:t>补充项目资料：《26.03.20向黄隧道出口右侧C4-1-305地块信息汇总.docx》及2026年9月25日CAD检查记录，用于区位及高程待核事项。提案中的场平及填整按拟实施工作理解，本文未重新认定现状完成程度。</w:t>
      </w:r>
    </w:p>
    <w:sectPr w:rsidR="00FC693F" w:rsidRPr="0006063C" w:rsidSect="00034616">
      <w:footerReference w:type="default" r:id="rId9"/>
      <w:pgSz w:w="11906" w:h="16838"/>
      <w:pgMar w:top="1020" w:right="1134" w:bottom="1020"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Microsoft YaHei" w:hAnsi="Microsoft YaHei" w:eastAsia="微软雅黑"/>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line="283" w:lineRule="auto"/>
      <w:outlineLvl w:val="0"/>
    </w:pPr>
    <w:rPr>
      <w:rFonts w:asciiTheme="majorHAnsi" w:eastAsiaTheme="majorEastAsia" w:hAnsiTheme="majorHAnsi" w:cstheme="majorBidi" w:ascii="Microsoft YaHei" w:hAnsi="Microsoft YaHei" w:eastAsia="微软雅黑"/>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40" w:after="120" w:line="283" w:lineRule="auto"/>
      <w:outlineLvl w:val="1"/>
    </w:pPr>
    <w:rPr>
      <w:rFonts w:asciiTheme="majorHAnsi" w:eastAsiaTheme="majorEastAsia" w:hAnsiTheme="majorHAnsi" w:cstheme="majorBidi" w:ascii="Microsoft YaHei" w:hAnsi="Microsoft YaHei" w:eastAsia="微软雅黑"/>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83" w:lineRule="auto"/>
      <w:contextualSpacing/>
    </w:pPr>
    <w:rPr>
      <w:rFonts w:asciiTheme="majorHAnsi" w:eastAsiaTheme="majorEastAsia" w:hAnsiTheme="majorHAnsi" w:cstheme="majorBidi" w:ascii="Microsoft YaHei" w:hAnsi="Microsoft YaHei" w:eastAsia="微软雅黑"/>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83" w:lineRule="auto"/>
    </w:pPr>
    <w:rPr>
      <w:rFonts w:asciiTheme="majorHAnsi" w:eastAsiaTheme="majorEastAsia" w:hAnsiTheme="majorHAnsi" w:cstheme="majorBidi" w:ascii="Microsoft YaHei" w:hAnsi="Microsoft YaHei" w:eastAsia="微软雅黑"/>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thjj.cq.gov.cn/zwgk_249/zfxxgkzl/fdzdgknr/hjyxpj/pzgcxx/sljsxmhpxxgg/202209/P020220914383417644364.pdf" TargetMode="External"/><Relationship Id="rId11" Type="http://schemas.openxmlformats.org/officeDocument/2006/relationships/hyperlink" Target="https://www.cls.cn/detail/2079987" TargetMode="External"/><Relationship Id="rId12" Type="http://schemas.openxmlformats.org/officeDocument/2006/relationships/hyperlink" Target="https://jkq.cq.gov.cn/zwxx/gsgg/202302/P020230215674461116784.pdf" TargetMode="External"/><Relationship Id="rId13" Type="http://schemas.openxmlformats.org/officeDocument/2006/relationships/hyperlink" Target="https://cgj.cq.gov.cn/rdzt/csgllyaqyjgl/yjxx/202507/t20250730_14859784.html" TargetMode="External"/><Relationship Id="rId14" Type="http://schemas.openxmlformats.org/officeDocument/2006/relationships/hyperlink" Target="https://usapickleball.org/construction/" TargetMode="External"/><Relationship Id="rId15" Type="http://schemas.openxmlformats.org/officeDocument/2006/relationships/hyperlink" Target="https://www.osha.gov/heat-exposure/hazards" TargetMode="External"/><Relationship Id="rId16" Type="http://schemas.openxmlformats.org/officeDocument/2006/relationships/hyperlink" Target="https://www.weather.gov/safety/lightning-sports" TargetMode="External"/><Relationship Id="rId17" Type="http://schemas.openxmlformats.org/officeDocument/2006/relationships/hyperlink" Target="https://www.itftennis.com/media/2171/courts-court-construction.pdf" TargetMode="External"/><Relationship Id="rId18" Type="http://schemas.openxmlformats.org/officeDocument/2006/relationships/hyperlink" Target="https://www.weather.gov/lmk/humidity" TargetMode="External"/><Relationship Id="rId19" Type="http://schemas.openxmlformats.org/officeDocument/2006/relationships/hyperlink" Target="https://www.who.int/news-room/questions-and-answers/item/radiation-the-ultraviolet-(uv)-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南山森兰匹克球运动公园气候影响与规划建设运营建议详细专题报告</dc:title>
  <dc:subject>户外匹克球和网球场地气候专题</dc:subject>
  <dc:creator>项目策划组</dc:creator>
  <cp:keywords/>
  <dc:description>generated by python-docx</dc:description>
  <cp:lastModifiedBy/>
  <cp:revision>1</cp:revision>
  <dcterms:created xsi:type="dcterms:W3CDTF">2013-12-23T23:15:00Z</dcterms:created>
  <dcterms:modified xsi:type="dcterms:W3CDTF">2013-12-23T23:15:00Z</dcterms:modified>
  <cp:category/>
</cp:coreProperties>
</file>