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C15C3">
      <w:pPr>
        <w:spacing w:before="2400"/>
      </w:pPr>
    </w:p>
    <w:p w14:paraId="3EB981CD">
      <w:pPr>
        <w:spacing w:after="200"/>
        <w:jc w:val="center"/>
      </w:pPr>
      <w:r>
        <w:rPr>
          <w:rFonts w:ascii="Times New Roman" w:hAnsi="Times New Roman" w:eastAsia="黑体" w:cs="Times New Roman"/>
          <w:b/>
          <w:bCs/>
          <w:color w:val="1A5276"/>
          <w:sz w:val="52"/>
          <w:szCs w:val="52"/>
        </w:rPr>
        <w:t>南山森兰匹克球运动公园</w:t>
      </w:r>
    </w:p>
    <w:p w14:paraId="7CD83B8A">
      <w:pPr>
        <w:spacing w:after="600"/>
        <w:jc w:val="center"/>
      </w:pPr>
      <w:r>
        <w:rPr>
          <w:rFonts w:ascii="Times New Roman" w:hAnsi="Times New Roman" w:eastAsia="黑体" w:cs="Times New Roman"/>
          <w:b/>
          <w:bCs/>
          <w:color w:val="1A5276"/>
          <w:sz w:val="44"/>
          <w:szCs w:val="44"/>
        </w:rPr>
        <w:t>策划提案</w:t>
      </w:r>
    </w:p>
    <w:p w14:paraId="2167B559">
      <w:pPr>
        <w:spacing w:after="120"/>
        <w:jc w:val="center"/>
      </w:pPr>
      <w:r>
        <w:rPr>
          <w:rFonts w:ascii="Times New Roman" w:hAnsi="Times New Roman" w:eastAsia="黑体" w:cs="Times New Roman"/>
          <w:color w:val="333333"/>
          <w:sz w:val="32"/>
          <w:szCs w:val="32"/>
        </w:rPr>
        <w:t>暨项目合作方案书</w:t>
      </w:r>
    </w:p>
    <w:p w14:paraId="6AEB1019">
      <w:pPr>
        <w:spacing w:before="1200"/>
      </w:pPr>
    </w:p>
    <w:p w14:paraId="387D0F26">
      <w:pPr>
        <w:spacing w:after="200"/>
        <w:jc w:val="center"/>
      </w:pPr>
      <w:r>
        <w:rPr>
          <w:rFonts w:ascii="Times New Roman" w:hAnsi="Times New Roman" w:eastAsia="仿宋" w:cs="Times New Roman"/>
          <w:color w:val="000000"/>
          <w:sz w:val="28"/>
          <w:szCs w:val="28"/>
        </w:rPr>
        <w:t>提案方：上海森兰匹界体育发展有限公司</w:t>
      </w:r>
    </w:p>
    <w:p w14:paraId="1DB23A1B">
      <w:pPr>
        <w:spacing w:after="200"/>
        <w:jc w:val="center"/>
      </w:pPr>
      <w:r>
        <w:rPr>
          <w:rFonts w:ascii="Times New Roman" w:hAnsi="Times New Roman" w:eastAsia="仿宋" w:cs="Times New Roman"/>
          <w:color w:val="000000"/>
          <w:sz w:val="28"/>
          <w:szCs w:val="28"/>
        </w:rPr>
        <w:t>提案对象：南山管理委员会</w:t>
      </w:r>
    </w:p>
    <w:p w14:paraId="1D3E80D5">
      <w:pPr>
        <w:spacing w:after="200"/>
        <w:jc w:val="center"/>
      </w:pPr>
      <w:r>
        <w:rPr>
          <w:rFonts w:ascii="Times New Roman" w:hAnsi="Times New Roman" w:eastAsia="仿宋" w:cs="Times New Roman"/>
          <w:color w:val="000000"/>
          <w:sz w:val="28"/>
          <w:szCs w:val="28"/>
        </w:rPr>
        <w:t>二〇二六年九月</w:t>
      </w:r>
    </w:p>
    <w:p w14:paraId="1CFB59FD">
      <w:pPr>
        <w:sectPr>
          <w:pgSz w:w="11906" w:h="16838"/>
          <w:pgMar w:top="2880" w:right="1440" w:bottom="1440" w:left="1800" w:header="708" w:footer="708" w:gutter="0"/>
          <w:cols w:space="720" w:num="1"/>
          <w:docGrid w:linePitch="360" w:charSpace="0"/>
        </w:sectPr>
      </w:pPr>
    </w:p>
    <w:p w14:paraId="017DAB38">
      <w:pPr>
        <w:spacing w:before="400" w:after="400"/>
        <w:jc w:val="center"/>
      </w:pPr>
      <w:r>
        <w:rPr>
          <w:rFonts w:ascii="Times New Roman" w:hAnsi="Times New Roman" w:eastAsia="黑体" w:cs="Times New Roman"/>
          <w:b/>
          <w:bCs/>
          <w:color w:val="000000"/>
          <w:sz w:val="36"/>
          <w:szCs w:val="36"/>
        </w:rPr>
        <w:t>目  录</w:t>
      </w:r>
    </w:p>
    <w:p w14:paraId="2F1406B7">
      <w:pPr>
        <w:spacing w:before="80" w:after="80" w:line="360" w:lineRule="auto"/>
      </w:pPr>
      <w:r>
        <w:rPr>
          <w:rFonts w:ascii="Times New Roman" w:hAnsi="Times New Roman" w:eastAsia="黑体" w:cs="Times New Roman"/>
          <w:b/>
          <w:bCs/>
          <w:color w:val="000000"/>
          <w:sz w:val="26"/>
          <w:szCs w:val="26"/>
        </w:rPr>
        <w:t>一、项目概况</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3</w:t>
      </w:r>
    </w:p>
    <w:p w14:paraId="4745B459">
      <w:pPr>
        <w:spacing w:before="80" w:after="80" w:line="360" w:lineRule="auto"/>
        <w:ind w:left="480"/>
      </w:pPr>
      <w:r>
        <w:rPr>
          <w:rFonts w:ascii="Times New Roman" w:hAnsi="Times New Roman" w:eastAsia="宋体" w:cs="Times New Roman"/>
          <w:b w:val="0"/>
          <w:bCs w:val="0"/>
          <w:color w:val="000000"/>
          <w:sz w:val="24"/>
          <w:szCs w:val="24"/>
        </w:rPr>
        <w:t>（一）项目选址</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3</w:t>
      </w:r>
    </w:p>
    <w:p w14:paraId="681C0B19">
      <w:pPr>
        <w:spacing w:before="80" w:after="80" w:line="360" w:lineRule="auto"/>
        <w:ind w:left="480"/>
      </w:pPr>
      <w:r>
        <w:rPr>
          <w:rFonts w:ascii="Times New Roman" w:hAnsi="Times New Roman" w:eastAsia="宋体" w:cs="Times New Roman"/>
          <w:b w:val="0"/>
          <w:bCs w:val="0"/>
          <w:color w:val="000000"/>
          <w:sz w:val="24"/>
          <w:szCs w:val="24"/>
        </w:rPr>
        <w:t>（二）核心定位</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3</w:t>
      </w:r>
    </w:p>
    <w:p w14:paraId="5FE1FC24">
      <w:pPr>
        <w:spacing w:before="80" w:after="80" w:line="360" w:lineRule="auto"/>
        <w:ind w:left="480"/>
      </w:pPr>
      <w:r>
        <w:rPr>
          <w:rFonts w:ascii="Times New Roman" w:hAnsi="Times New Roman" w:eastAsia="宋体" w:cs="Times New Roman"/>
          <w:b w:val="0"/>
          <w:bCs w:val="0"/>
          <w:color w:val="000000"/>
          <w:sz w:val="24"/>
          <w:szCs w:val="24"/>
        </w:rPr>
        <w:t>（三）核心差异化优势</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4</w:t>
      </w:r>
    </w:p>
    <w:p w14:paraId="341CFBAE">
      <w:pPr>
        <w:spacing w:before="80" w:after="80" w:line="360" w:lineRule="auto"/>
        <w:ind w:left="480"/>
      </w:pPr>
      <w:r>
        <w:rPr>
          <w:rFonts w:ascii="Times New Roman" w:hAnsi="Times New Roman" w:eastAsia="宋体" w:cs="Times New Roman"/>
          <w:b w:val="0"/>
          <w:bCs w:val="0"/>
          <w:color w:val="000000"/>
          <w:sz w:val="24"/>
          <w:szCs w:val="24"/>
        </w:rPr>
        <w:t>（四）上海森兰经验背书</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4</w:t>
      </w:r>
    </w:p>
    <w:p w14:paraId="59901735">
      <w:pPr>
        <w:spacing w:before="80" w:after="80" w:line="360" w:lineRule="auto"/>
      </w:pPr>
      <w:r>
        <w:rPr>
          <w:rFonts w:ascii="Times New Roman" w:hAnsi="Times New Roman" w:eastAsia="黑体" w:cs="Times New Roman"/>
          <w:b/>
          <w:bCs/>
          <w:color w:val="000000"/>
          <w:sz w:val="26"/>
          <w:szCs w:val="26"/>
        </w:rPr>
        <w:t>二、整体规划布局</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5</w:t>
      </w:r>
    </w:p>
    <w:p w14:paraId="1A296140">
      <w:pPr>
        <w:spacing w:before="80" w:after="80" w:line="360" w:lineRule="auto"/>
        <w:ind w:left="480"/>
      </w:pPr>
      <w:r>
        <w:rPr>
          <w:rFonts w:ascii="Times New Roman" w:hAnsi="Times New Roman" w:eastAsia="宋体" w:cs="Times New Roman"/>
          <w:b w:val="0"/>
          <w:bCs w:val="0"/>
          <w:color w:val="000000"/>
          <w:sz w:val="24"/>
          <w:szCs w:val="24"/>
        </w:rPr>
        <w:t>（一）南侧主入口综合服务区</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5</w:t>
      </w:r>
    </w:p>
    <w:p w14:paraId="43AFF869">
      <w:pPr>
        <w:spacing w:before="80" w:after="80" w:line="360" w:lineRule="auto"/>
        <w:ind w:left="480"/>
      </w:pPr>
      <w:r>
        <w:rPr>
          <w:rFonts w:ascii="Times New Roman" w:hAnsi="Times New Roman" w:eastAsia="宋体" w:cs="Times New Roman"/>
          <w:b w:val="0"/>
          <w:bCs w:val="0"/>
          <w:color w:val="000000"/>
          <w:sz w:val="24"/>
          <w:szCs w:val="24"/>
        </w:rPr>
        <w:t>（二）中部核心运动竞技区</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5</w:t>
      </w:r>
    </w:p>
    <w:p w14:paraId="354C0FAC">
      <w:pPr>
        <w:spacing w:before="80" w:after="80" w:line="360" w:lineRule="auto"/>
        <w:ind w:left="480"/>
      </w:pPr>
      <w:r>
        <w:rPr>
          <w:rFonts w:ascii="Times New Roman" w:hAnsi="Times New Roman" w:eastAsia="宋体" w:cs="Times New Roman"/>
          <w:b w:val="0"/>
          <w:bCs w:val="0"/>
          <w:color w:val="000000"/>
          <w:sz w:val="24"/>
          <w:szCs w:val="24"/>
        </w:rPr>
        <w:t>（三）北侧、东侧湿地生态观赛休闲区</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6</w:t>
      </w:r>
    </w:p>
    <w:p w14:paraId="541E45E3">
      <w:pPr>
        <w:spacing w:before="80" w:after="80" w:line="360" w:lineRule="auto"/>
        <w:ind w:left="480"/>
      </w:pPr>
      <w:r>
        <w:rPr>
          <w:rFonts w:ascii="Times New Roman" w:hAnsi="Times New Roman" w:eastAsia="宋体" w:cs="Times New Roman"/>
          <w:b w:val="0"/>
          <w:bCs w:val="0"/>
          <w:color w:val="000000"/>
          <w:sz w:val="24"/>
          <w:szCs w:val="24"/>
        </w:rPr>
        <w:t>（四）智慧生态配套系统</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6</w:t>
      </w:r>
    </w:p>
    <w:p w14:paraId="44452634">
      <w:pPr>
        <w:spacing w:before="80" w:after="80" w:line="360" w:lineRule="auto"/>
      </w:pPr>
      <w:r>
        <w:rPr>
          <w:rFonts w:ascii="Times New Roman" w:hAnsi="Times New Roman" w:eastAsia="黑体" w:cs="Times New Roman"/>
          <w:b/>
          <w:bCs/>
          <w:color w:val="000000"/>
          <w:sz w:val="26"/>
          <w:szCs w:val="26"/>
        </w:rPr>
        <w:t>三、项目建设意义与综合价值</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7</w:t>
      </w:r>
    </w:p>
    <w:p w14:paraId="49FB1563">
      <w:pPr>
        <w:spacing w:before="80" w:after="80" w:line="360" w:lineRule="auto"/>
      </w:pPr>
      <w:r>
        <w:rPr>
          <w:rFonts w:ascii="Times New Roman" w:hAnsi="Times New Roman" w:eastAsia="黑体" w:cs="Times New Roman"/>
          <w:b/>
          <w:bCs/>
          <w:color w:val="000000"/>
          <w:sz w:val="26"/>
          <w:szCs w:val="26"/>
        </w:rPr>
        <w:t>四、项目运营模式</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8</w:t>
      </w:r>
    </w:p>
    <w:p w14:paraId="15B41142">
      <w:pPr>
        <w:spacing w:before="80" w:after="80" w:line="360" w:lineRule="auto"/>
      </w:pPr>
      <w:r>
        <w:rPr>
          <w:rFonts w:ascii="Times New Roman" w:hAnsi="Times New Roman" w:eastAsia="黑体" w:cs="Times New Roman"/>
          <w:b/>
          <w:bCs/>
          <w:color w:val="000000"/>
          <w:sz w:val="26"/>
          <w:szCs w:val="26"/>
        </w:rPr>
        <w:t>五、项目预期建设成效</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10</w:t>
      </w:r>
    </w:p>
    <w:p w14:paraId="360D0BE3">
      <w:pPr>
        <w:spacing w:before="80" w:after="80" w:line="360" w:lineRule="auto"/>
      </w:pPr>
      <w:r>
        <w:rPr>
          <w:rFonts w:ascii="Times New Roman" w:hAnsi="Times New Roman" w:eastAsia="黑体" w:cs="Times New Roman"/>
          <w:b/>
          <w:bCs/>
          <w:color w:val="000000"/>
          <w:sz w:val="26"/>
          <w:szCs w:val="26"/>
        </w:rPr>
        <w:t>六、项目投资与运维说明</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11</w:t>
      </w:r>
    </w:p>
    <w:p w14:paraId="1BB5E7CA">
      <w:pPr>
        <w:spacing w:before="80" w:after="80" w:line="360" w:lineRule="auto"/>
      </w:pPr>
      <w:r>
        <w:rPr>
          <w:rFonts w:ascii="Times New Roman" w:hAnsi="Times New Roman" w:eastAsia="黑体" w:cs="Times New Roman"/>
          <w:b/>
          <w:bCs/>
          <w:color w:val="000000"/>
          <w:sz w:val="26"/>
          <w:szCs w:val="26"/>
        </w:rPr>
        <w:t>七、总结</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13</w:t>
      </w:r>
    </w:p>
    <w:p w14:paraId="1D3AB9B9">
      <w:pPr>
        <w:sectPr>
          <w:headerReference r:id="rId3" w:type="default"/>
          <w:footerReference r:id="rId4" w:type="default"/>
          <w:pgSz w:w="11906" w:h="16838"/>
          <w:pgMar w:top="1440" w:right="1440" w:bottom="1440" w:left="1800" w:header="708" w:footer="708" w:gutter="0"/>
          <w:cols w:space="720" w:num="1"/>
          <w:docGrid w:linePitch="360" w:charSpace="0"/>
        </w:sectPr>
      </w:pPr>
    </w:p>
    <w:p w14:paraId="24E642CB">
      <w:pPr>
        <w:spacing w:before="200" w:after="300"/>
        <w:jc w:val="center"/>
      </w:pPr>
      <w:r>
        <w:rPr>
          <w:rFonts w:ascii="Times New Roman" w:hAnsi="Times New Roman" w:eastAsia="黑体" w:cs="Times New Roman"/>
          <w:b/>
          <w:bCs/>
          <w:color w:val="1A5276"/>
          <w:sz w:val="36"/>
          <w:szCs w:val="36"/>
        </w:rPr>
        <w:t>南山森兰匹克球运动公园 策划提案</w:t>
      </w:r>
    </w:p>
    <w:p w14:paraId="392308AD">
      <w:pPr>
        <w:keepNext/>
        <w:spacing w:before="200" w:after="100" w:line="360" w:lineRule="auto"/>
      </w:pPr>
      <w:r>
        <w:rPr>
          <w:rFonts w:ascii="Times New Roman" w:hAnsi="Times New Roman" w:eastAsia="黑体" w:cs="Times New Roman"/>
          <w:b/>
          <w:bCs/>
          <w:color w:val="000000"/>
          <w:sz w:val="28"/>
          <w:szCs w:val="28"/>
        </w:rPr>
        <w:t>一、项目概况</w:t>
      </w:r>
    </w:p>
    <w:p w14:paraId="40EAE2C8">
      <w:pPr>
        <w:spacing w:before="60" w:after="60" w:line="360" w:lineRule="auto"/>
        <w:ind w:firstLine="480"/>
      </w:pPr>
      <w:r>
        <w:rPr>
          <w:rFonts w:ascii="Times New Roman" w:hAnsi="Times New Roman" w:eastAsia="仿宋" w:cs="Times New Roman"/>
          <w:color w:val="000000"/>
          <w:sz w:val="24"/>
          <w:szCs w:val="24"/>
        </w:rPr>
        <w:t>匹克球作为一项融合网球、乒乓球与羽毛球特点的新兴运动，近年来在全球范围内呈现爆发式增长态势。其低门槛、强社交、全龄友好的运动特性，使之成为全民健身战略下极具发展潜力的体育新业态。上海森兰深耕匹克球领域，在上海浦东新区成功打造并运营了上海首个专业匹克球主题公园——森兰匹克球公园，积累了丰富的场地建设、赛事运营、社群培育和体旅融合的实战经验。基于这一成熟经验，上海森兰拟在重庆南山中央湿地公园投资建设“南山森兰匹克球运动公园”，将上海经验与重庆山水特色深度融合，打造西南地区标杆性文体旅融合项目。</w:t>
      </w:r>
    </w:p>
    <w:p w14:paraId="778A7B1E">
      <w:pPr>
        <w:spacing w:before="120" w:after="60" w:line="360" w:lineRule="auto"/>
        <w:ind w:firstLine="480"/>
      </w:pPr>
      <w:r>
        <w:rPr>
          <w:rFonts w:ascii="Times New Roman" w:hAnsi="Times New Roman" w:eastAsia="黑体" w:cs="Times New Roman"/>
          <w:b/>
          <w:bCs/>
          <w:color w:val="000000"/>
          <w:sz w:val="24"/>
          <w:szCs w:val="24"/>
        </w:rPr>
        <w:t>（一）项目选址</w:t>
      </w:r>
    </w:p>
    <w:p w14:paraId="55275E76">
      <w:pPr>
        <w:spacing w:before="60" w:after="60" w:line="360" w:lineRule="auto"/>
        <w:ind w:firstLine="480"/>
      </w:pPr>
      <w:r>
        <w:rPr>
          <w:rFonts w:ascii="Times New Roman" w:hAnsi="Times New Roman" w:eastAsia="仿宋" w:cs="Times New Roman"/>
          <w:color w:val="000000"/>
          <w:sz w:val="24"/>
          <w:szCs w:val="24"/>
        </w:rPr>
        <w:t>项目选址于重庆南山中央湿地公园内，地块呈梯形，总面积约20000平方米。南山作为重庆主城区的“绿色肺叶”和标志性城市山体，年游客量超过千万人次，兼具生态资源禀赋与城市休闲客流双重优势。地块建设用地属性为公园绿地（G1），项目将采用非永久性建设方式，以装配式结构（篷房、集装箱、膜结构等）进行建设，拆卸回收率达95%以上，完全符合G1用地政策要求，实现“保护中利用、利用中保护”的生态开发理念。</w:t>
      </w:r>
    </w:p>
    <w:p w14:paraId="1E38CBF1">
      <w:pPr>
        <w:spacing w:before="120" w:after="60" w:line="360" w:lineRule="auto"/>
        <w:ind w:firstLine="480"/>
      </w:pPr>
      <w:r>
        <w:rPr>
          <w:rFonts w:ascii="Times New Roman" w:hAnsi="Times New Roman" w:eastAsia="黑体" w:cs="Times New Roman"/>
          <w:b/>
          <w:bCs/>
          <w:color w:val="000000"/>
          <w:sz w:val="24"/>
          <w:szCs w:val="24"/>
        </w:rPr>
        <w:t>（二）核心定位</w:t>
      </w:r>
    </w:p>
    <w:p w14:paraId="25550CC0">
      <w:pPr>
        <w:spacing w:before="60" w:after="60" w:line="360" w:lineRule="auto"/>
        <w:ind w:firstLine="480"/>
      </w:pPr>
      <w:r>
        <w:rPr>
          <w:rFonts w:ascii="Times New Roman" w:hAnsi="Times New Roman" w:eastAsia="仿宋" w:cs="Times New Roman"/>
          <w:color w:val="000000"/>
          <w:sz w:val="24"/>
          <w:szCs w:val="24"/>
        </w:rPr>
        <w:t>项目定位为“山城湿地·全天候文体旅融合匹克球运动公园”。区别于传统体育场地项目，本项目创造性地将匹克球运动嵌入南山湿地生态景观之中，以“生态+运动+文旅”三位一体的开发模式，构建集专业赛事、全民健身、生态观光、康养休闲、体育培训于一体的复合型体育公园。项目以“生态为本、运动赋能、文旅提质、全民共享、产业延伸”为五大发展理念，致力于打造西南地区首个湿地生态匹克球运动目的地。</w:t>
      </w:r>
    </w:p>
    <w:p w14:paraId="3C7A9C58">
      <w:pPr>
        <w:spacing w:before="120" w:after="60" w:line="360" w:lineRule="auto"/>
        <w:ind w:firstLine="480"/>
      </w:pPr>
      <w:r>
        <w:rPr>
          <w:rFonts w:ascii="Times New Roman" w:hAnsi="Times New Roman" w:eastAsia="黑体" w:cs="Times New Roman"/>
          <w:b/>
          <w:bCs/>
          <w:color w:val="000000"/>
          <w:sz w:val="24"/>
          <w:szCs w:val="24"/>
        </w:rPr>
        <w:t>（三）核心差异化优势</w:t>
      </w:r>
    </w:p>
    <w:p w14:paraId="5C829C9C">
      <w:pPr>
        <w:spacing w:before="60" w:after="60" w:line="360" w:lineRule="auto"/>
        <w:ind w:firstLine="480"/>
      </w:pPr>
      <w:r>
        <w:rPr>
          <w:rFonts w:ascii="Times New Roman" w:hAnsi="Times New Roman" w:eastAsia="仿宋" w:cs="Times New Roman"/>
          <w:color w:val="000000"/>
          <w:sz w:val="24"/>
          <w:szCs w:val="24"/>
        </w:rPr>
        <w:t>本项目具备三大核心差异化优势，在全国同类项目中具有显著的稀缺性和标杆意义：</w:t>
      </w:r>
    </w:p>
    <w:p w14:paraId="3EBD5EBA">
      <w:pPr>
        <w:spacing w:before="60" w:after="60" w:line="360" w:lineRule="auto"/>
        <w:ind w:firstLine="480"/>
      </w:pPr>
      <w:r>
        <w:rPr>
          <w:rFonts w:ascii="Times New Roman" w:hAnsi="Times New Roman" w:eastAsia="仿宋" w:cs="Times New Roman"/>
          <w:color w:val="000000"/>
          <w:sz w:val="24"/>
          <w:szCs w:val="24"/>
        </w:rPr>
        <w:t>第一，嵌入湿地公园，全国稀缺的生态运动综合体。项目坐落于南山中央湿地公园内，运动场地与自然湿地景观有机融合，形成“在湿地中运动、在运动中赏景”的独特体验。这种将专业体育场地嵌入城市湿地公园的开发模式，在全国范围内极为罕见，具有极高的话题性、传播力和品牌价值。</w:t>
      </w:r>
    </w:p>
    <w:p w14:paraId="70A09A78">
      <w:pPr>
        <w:spacing w:before="60" w:after="60" w:line="360" w:lineRule="auto"/>
        <w:ind w:firstLine="480"/>
      </w:pPr>
      <w:r>
        <w:rPr>
          <w:rFonts w:ascii="Times New Roman" w:hAnsi="Times New Roman" w:eastAsia="仿宋" w:cs="Times New Roman"/>
          <w:color w:val="000000"/>
          <w:sz w:val="24"/>
          <w:szCs w:val="24"/>
        </w:rPr>
        <w:t>第二，双组团可开合电动顶棚，全天候运营保障。项目配置两组可开合电动顶棚，全面覆盖18片标准匹克球场。顶棚系统支持晴天全开、雨天全闭、半开半合等多种模式，实现双棚联动操控，确保场地在任何天气条件下均可正常使用。这一配置填补了重庆乃至西南地区全天候专业匹克球场地的空白，为赛事承办和日常运营提供坚实的硬件保障。</w:t>
      </w:r>
    </w:p>
    <w:p w14:paraId="2D87B7D6">
      <w:pPr>
        <w:spacing w:before="60" w:after="60" w:line="360" w:lineRule="auto"/>
        <w:ind w:firstLine="480"/>
      </w:pPr>
      <w:r>
        <w:rPr>
          <w:rFonts w:ascii="Times New Roman" w:hAnsi="Times New Roman" w:eastAsia="仿宋" w:cs="Times New Roman"/>
          <w:color w:val="000000"/>
          <w:sz w:val="24"/>
          <w:szCs w:val="24"/>
        </w:rPr>
        <w:t>第三，深度契合南山整体发展规划。项目与南山“生态+文旅+康养+体育”的整体发展定位高度契合。通过引入匹克球这一新兴潮流运动，丰富南山的业态结构和消费场景，为南山注入年轻化、运动化、国际化的新动能，助力南山从传统观光型景区向文体旅融合型目的地的转型升级。</w:t>
      </w:r>
    </w:p>
    <w:p w14:paraId="353EFB14">
      <w:pPr>
        <w:spacing w:before="120" w:after="60" w:line="360" w:lineRule="auto"/>
        <w:ind w:firstLine="480"/>
      </w:pPr>
      <w:r>
        <w:rPr>
          <w:rFonts w:ascii="Times New Roman" w:hAnsi="Times New Roman" w:eastAsia="黑体" w:cs="Times New Roman"/>
          <w:b/>
          <w:bCs/>
          <w:color w:val="000000"/>
          <w:sz w:val="24"/>
          <w:szCs w:val="24"/>
        </w:rPr>
        <w:t>（四）上海森兰经验背书</w:t>
      </w:r>
    </w:p>
    <w:p w14:paraId="3E27A4BA">
      <w:pPr>
        <w:spacing w:before="60" w:after="60" w:line="360" w:lineRule="auto"/>
        <w:ind w:firstLine="480"/>
      </w:pPr>
      <w:r>
        <w:rPr>
          <w:rFonts w:ascii="Times New Roman" w:hAnsi="Times New Roman" w:eastAsia="仿宋" w:cs="Times New Roman"/>
          <w:color w:val="000000"/>
          <w:sz w:val="24"/>
          <w:szCs w:val="24"/>
        </w:rPr>
        <w:t>上海森兰在上海浦东新区高行镇成功运营森兰匹克球公园，该公园占地3600平方米，是上海首个、规模最大的专业匹克球主题公园，于2025年7月正式投入运营，属于森兰都市运动中心重要板块。公园拥有12片IFP国际标准球场，配备弹性丙烯酸专业地材和全套夜间专业照明系统，可全天候承接训练和赛事。配套休息观赛区、装备售卖、接待服务区及智慧预约管理系统，定位为“专业赛事基地+全民运动社交空间+体教文旅融合载体”。该项目已被纳入上海市都市运动中心试点项目，并获得人民网、上观新闻等主流媒体的多次报道，在行业内形成了较高的品牌影响力和示范效应。</w:t>
      </w:r>
    </w:p>
    <w:p w14:paraId="7F08868B">
      <w:pPr>
        <w:keepNext/>
        <w:spacing w:before="200" w:after="100" w:line="360" w:lineRule="auto"/>
      </w:pPr>
      <w:r>
        <w:rPr>
          <w:rFonts w:ascii="Times New Roman" w:hAnsi="Times New Roman" w:eastAsia="黑体" w:cs="Times New Roman"/>
          <w:b/>
          <w:bCs/>
          <w:color w:val="000000"/>
          <w:sz w:val="28"/>
          <w:szCs w:val="28"/>
        </w:rPr>
        <w:t>二、整体规划布局</w:t>
      </w:r>
    </w:p>
    <w:p w14:paraId="625F57B4">
      <w:pPr>
        <w:spacing w:before="60" w:after="60" w:line="360" w:lineRule="auto"/>
        <w:ind w:firstLine="480"/>
      </w:pPr>
      <w:r>
        <w:rPr>
          <w:rFonts w:ascii="Times New Roman" w:hAnsi="Times New Roman" w:eastAsia="仿宋" w:cs="Times New Roman"/>
          <w:color w:val="000000"/>
          <w:sz w:val="24"/>
          <w:szCs w:val="24"/>
        </w:rPr>
        <w:t>项目秉持“低扰动、生态化、功能系统化”的规划原则，在充分尊重南山中央湿地公园自然生态本底的基础上，采用“南服务、中运动、北生态观赛”的科学空间布局，实现运动功能与生态景观的有机融合。</w:t>
      </w:r>
    </w:p>
    <w:p w14:paraId="17322D4D">
      <w:pPr>
        <w:spacing w:before="120" w:after="60" w:line="360" w:lineRule="auto"/>
        <w:ind w:firstLine="480"/>
      </w:pPr>
      <w:r>
        <w:rPr>
          <w:rFonts w:ascii="Times New Roman" w:hAnsi="Times New Roman" w:eastAsia="黑体" w:cs="Times New Roman"/>
          <w:b/>
          <w:bCs/>
          <w:color w:val="000000"/>
          <w:sz w:val="24"/>
          <w:szCs w:val="24"/>
        </w:rPr>
        <w:t>（一）南侧主入口综合服务区</w:t>
      </w:r>
    </w:p>
    <w:p w14:paraId="4482A6C5">
      <w:pPr>
        <w:spacing w:before="60" w:after="60" w:line="360" w:lineRule="auto"/>
        <w:ind w:firstLine="480"/>
      </w:pPr>
      <w:r>
        <w:rPr>
          <w:rFonts w:ascii="Times New Roman" w:hAnsi="Times New Roman" w:eastAsia="仿宋" w:cs="Times New Roman"/>
          <w:color w:val="000000"/>
          <w:sz w:val="24"/>
          <w:szCs w:val="24"/>
        </w:rPr>
        <w:t>南侧设置项目主入口，打造生态主入口广场，作为项目的形象展示窗口和人流集散枢纽。配套建设服务管理用房，集接待咨询、装备租售、淋浴更衣、办公管理等功能于一体。设置生态透水停车场，采用透水铺装材料，兼顾停车需求与雨水渗透，减少对湿地水文环境的影响。主入口区域以生态景观为设计主线，通过绿化景观、标识系统和生态化建筑语言，营造具有辨识度的公园入口形象。</w:t>
      </w:r>
    </w:p>
    <w:p w14:paraId="2339390C">
      <w:pPr>
        <w:spacing w:before="120" w:after="60" w:line="360" w:lineRule="auto"/>
        <w:ind w:firstLine="480"/>
      </w:pPr>
      <w:r>
        <w:rPr>
          <w:rFonts w:ascii="Times New Roman" w:hAnsi="Times New Roman" w:eastAsia="黑体" w:cs="Times New Roman"/>
          <w:b/>
          <w:bCs/>
          <w:color w:val="000000"/>
          <w:sz w:val="24"/>
          <w:szCs w:val="24"/>
        </w:rPr>
        <w:t>（二）中部核心运动竞技区</w:t>
      </w:r>
    </w:p>
    <w:p w14:paraId="66E58265">
      <w:pPr>
        <w:spacing w:before="60" w:after="60" w:line="360" w:lineRule="auto"/>
        <w:ind w:firstLine="480"/>
      </w:pPr>
      <w:r>
        <w:rPr>
          <w:rFonts w:ascii="Times New Roman" w:hAnsi="Times New Roman" w:eastAsia="仿宋" w:cs="Times New Roman"/>
          <w:color w:val="000000"/>
          <w:sz w:val="24"/>
          <w:szCs w:val="24"/>
        </w:rPr>
        <w:t>中部为项目的核心功能区域，规划18片IFP国际标准匹克球场，分为A、B两大组团，各配置一组可开合电动顶棚，形成双组团联动的全天候运动空间。</w:t>
      </w:r>
    </w:p>
    <w:p w14:paraId="4251BF98">
      <w:pPr>
        <w:spacing w:before="60" w:after="60" w:line="360" w:lineRule="auto"/>
        <w:ind w:firstLine="480"/>
      </w:pPr>
      <w:r>
        <w:rPr>
          <w:rFonts w:ascii="Times New Roman" w:hAnsi="Times New Roman" w:eastAsia="仿宋" w:cs="Times New Roman"/>
          <w:color w:val="000000"/>
          <w:sz w:val="24"/>
          <w:szCs w:val="24"/>
        </w:rPr>
        <w:t>A区8片球场定位为专业竞赛组团，主要承接省级赛事、区域联赛、市级锦标赛等专业竞技活动。球场按照IFP国际匹克球联合会标准建设，配备专业赛事级照明、裁判座椅和观众观赛区域，可满足中高级别赛事的硬件要求。</w:t>
      </w:r>
    </w:p>
    <w:p w14:paraId="1DAB3284">
      <w:pPr>
        <w:spacing w:before="60" w:after="60" w:line="360" w:lineRule="auto"/>
        <w:ind w:firstLine="480"/>
      </w:pPr>
      <w:r>
        <w:rPr>
          <w:rFonts w:ascii="Times New Roman" w:hAnsi="Times New Roman" w:eastAsia="仿宋" w:cs="Times New Roman"/>
          <w:color w:val="000000"/>
          <w:sz w:val="24"/>
          <w:szCs w:val="24"/>
        </w:rPr>
        <w:t>B区8片球场定位为全民普及体验组团，主要面向全民健身、青少年培训、企业团建和大众体验等场景。该组团注重开放性和亲和力，降低运动门槛，营造轻松愉悦的运动社交氛围。</w:t>
      </w:r>
    </w:p>
    <w:p w14:paraId="31F343AA">
      <w:pPr>
        <w:spacing w:before="60" w:after="60" w:line="360" w:lineRule="auto"/>
        <w:ind w:firstLine="480"/>
      </w:pPr>
      <w:r>
        <w:rPr>
          <w:rFonts w:ascii="Times New Roman" w:hAnsi="Times New Roman" w:eastAsia="仿宋" w:cs="Times New Roman"/>
          <w:color w:val="000000"/>
          <w:sz w:val="24"/>
          <w:szCs w:val="24"/>
        </w:rPr>
        <w:t>顶棚系统是本项目的核心硬件亮点。两组顶棚支持晴天全开模式，让运动者在自然光照和通风中享受运动乐趣；雨天全闭模式，确保赛事和活动不受天气影响；半开半合模式，在遮阳与通风之间灵活切换；双棚联动模式，在举办大型赛事时可将两个组团贯通为一个整体场地空间。球场采用透水基层和环保弹性丙烯酸面层，兼顾运动性能和生态环保要求。</w:t>
      </w:r>
    </w:p>
    <w:p w14:paraId="31FA18E3">
      <w:pPr>
        <w:spacing w:before="60" w:after="60" w:line="360" w:lineRule="auto"/>
        <w:ind w:firstLine="480"/>
      </w:pPr>
      <w:r>
        <w:rPr>
          <w:rFonts w:ascii="Times New Roman" w:hAnsi="Times New Roman" w:eastAsia="仿宋" w:cs="Times New Roman"/>
          <w:color w:val="000000"/>
          <w:sz w:val="24"/>
          <w:szCs w:val="24"/>
        </w:rPr>
        <w:t>此外，在匹克球场之外，项目另规划6块标准网球场作为补充运动场地，丰富运动品类，满足不同运动爱好者的需求，提升场地的综合吸引力和利用率。远期规划在中央区域预留室内主场馆建设用地，为项目后续升级和业态扩展预留空间。</w:t>
      </w:r>
    </w:p>
    <w:p w14:paraId="67ED5658">
      <w:pPr>
        <w:spacing w:before="120" w:after="60" w:line="360" w:lineRule="auto"/>
        <w:ind w:firstLine="480"/>
      </w:pPr>
      <w:r>
        <w:rPr>
          <w:rFonts w:ascii="Times New Roman" w:hAnsi="Times New Roman" w:eastAsia="黑体" w:cs="Times New Roman"/>
          <w:b/>
          <w:bCs/>
          <w:color w:val="000000"/>
          <w:sz w:val="24"/>
          <w:szCs w:val="24"/>
        </w:rPr>
        <w:t>（三）北侧、东侧湿地生态观赛休闲区</w:t>
      </w:r>
    </w:p>
    <w:p w14:paraId="69A9E8AE">
      <w:pPr>
        <w:spacing w:before="60" w:after="60" w:line="360" w:lineRule="auto"/>
        <w:ind w:firstLine="480"/>
      </w:pPr>
      <w:r>
        <w:rPr>
          <w:rFonts w:ascii="Times New Roman" w:hAnsi="Times New Roman" w:eastAsia="仿宋" w:cs="Times New Roman"/>
          <w:color w:val="000000"/>
          <w:sz w:val="24"/>
          <w:szCs w:val="24"/>
        </w:rPr>
        <w:t>北侧和东侧依托湿地自然景观资源，打造轻量化生态观赛休闲区。设置轻量化观赛廊架，采用通透化设计，不遮挡湿地景观视线，同时为观赛者提供遮阳避雨空间。建设湿地漫步步道，串联运动区与湿地核心景观，为运动者和游客提供沉浸式的自然体验。设置生态休闲草坪，可用于赛前热身、赛后休憩、户外瑜伽等多元活动。策划赛事主题市集，在赛事期间联动周边商户，打造集运动、美食、文创于一体的消费场景。</w:t>
      </w:r>
    </w:p>
    <w:p w14:paraId="76F31518">
      <w:pPr>
        <w:spacing w:before="120" w:after="60" w:line="360" w:lineRule="auto"/>
        <w:ind w:firstLine="480"/>
      </w:pPr>
      <w:r>
        <w:rPr>
          <w:rFonts w:ascii="Times New Roman" w:hAnsi="Times New Roman" w:eastAsia="黑体" w:cs="Times New Roman"/>
          <w:b/>
          <w:bCs/>
          <w:color w:val="000000"/>
          <w:sz w:val="24"/>
          <w:szCs w:val="24"/>
        </w:rPr>
        <w:t>（四）智慧生态配套系统</w:t>
      </w:r>
    </w:p>
    <w:p w14:paraId="0EDB9E85">
      <w:pPr>
        <w:spacing w:before="60" w:after="60" w:line="360" w:lineRule="auto"/>
        <w:ind w:firstLine="480"/>
      </w:pPr>
      <w:r>
        <w:rPr>
          <w:rFonts w:ascii="Times New Roman" w:hAnsi="Times New Roman" w:eastAsia="仿宋" w:cs="Times New Roman"/>
          <w:color w:val="000000"/>
          <w:sz w:val="24"/>
          <w:szCs w:val="24"/>
        </w:rPr>
        <w:t>项目配套建设四大智慧生态系统，确保项目在科技化管理和生态保护方面达到行业领先水平。</w:t>
      </w:r>
    </w:p>
    <w:p w14:paraId="0C3D7325">
      <w:pPr>
        <w:spacing w:before="60" w:after="60" w:line="360" w:lineRule="auto"/>
        <w:ind w:firstLine="480"/>
      </w:pPr>
      <w:r>
        <w:rPr>
          <w:rFonts w:ascii="Times New Roman" w:hAnsi="Times New Roman" w:eastAsia="仿宋" w:cs="Times New Roman"/>
          <w:color w:val="000000"/>
          <w:sz w:val="24"/>
          <w:szCs w:val="24"/>
        </w:rPr>
        <w:t>智慧体育系统：部署智慧预约管理系统、智能计分系统和赛事直播系统，实现线上预约、智能排场、赛事数据实时采集和远程观赛等功能。借鉴上海森兰匹克球公园已验证的智慧管理体系，提升运营效率和用户体验。</w:t>
      </w:r>
    </w:p>
    <w:p w14:paraId="27184262">
      <w:pPr>
        <w:spacing w:before="60" w:after="60" w:line="360" w:lineRule="auto"/>
        <w:ind w:firstLine="480"/>
      </w:pPr>
      <w:r>
        <w:rPr>
          <w:rFonts w:ascii="Times New Roman" w:hAnsi="Times New Roman" w:eastAsia="仿宋" w:cs="Times New Roman"/>
          <w:color w:val="000000"/>
          <w:sz w:val="24"/>
          <w:szCs w:val="24"/>
        </w:rPr>
        <w:t>生态节水系统：采用雨水收集回用和智能灌溉技术，利用透水基层和生态排水沟实现雨水的自然渗透和收集，收集的雨水用于场地绿化灌溉和场地清洁，减少市政用水消耗。</w:t>
      </w:r>
    </w:p>
    <w:p w14:paraId="077C5316">
      <w:pPr>
        <w:spacing w:before="60" w:after="60" w:line="360" w:lineRule="auto"/>
        <w:ind w:firstLine="480"/>
      </w:pPr>
      <w:r>
        <w:rPr>
          <w:rFonts w:ascii="Times New Roman" w:hAnsi="Times New Roman" w:eastAsia="仿宋" w:cs="Times New Roman"/>
          <w:color w:val="000000"/>
          <w:sz w:val="24"/>
          <w:szCs w:val="24"/>
        </w:rPr>
        <w:t>生态照明系统：采用节能LED灯具，配合智能光控系统，根据赛事、训练、休闲等不同场景自动调节照度，在满足运动照明需求的同时，降低光污染对湿地生态的影响。</w:t>
      </w:r>
    </w:p>
    <w:p w14:paraId="55572392">
      <w:pPr>
        <w:spacing w:before="60" w:after="60" w:line="360" w:lineRule="auto"/>
        <w:ind w:firstLine="480"/>
      </w:pPr>
      <w:r>
        <w:rPr>
          <w:rFonts w:ascii="Times New Roman" w:hAnsi="Times New Roman" w:eastAsia="仿宋" w:cs="Times New Roman"/>
          <w:color w:val="000000"/>
          <w:sz w:val="24"/>
          <w:szCs w:val="24"/>
        </w:rPr>
        <w:t>全域排水防洪系统：针对南山地形特点和重庆多雨气候，建设完善的排水防洪体系，包括生态排水沟、蓄渗设施和应急排涝设备，确保场地在暴雨季节的安全运营。结合地块平整工程，科学设计竖向排水方案，使全场达到平地临街的理想状态。</w:t>
      </w:r>
    </w:p>
    <w:p w14:paraId="0024B816">
      <w:pPr>
        <w:keepNext/>
        <w:spacing w:before="200" w:after="100" w:line="360" w:lineRule="auto"/>
      </w:pPr>
      <w:r>
        <w:rPr>
          <w:rFonts w:ascii="Times New Roman" w:hAnsi="Times New Roman" w:eastAsia="黑体" w:cs="Times New Roman"/>
          <w:b/>
          <w:bCs/>
          <w:color w:val="000000"/>
          <w:sz w:val="28"/>
          <w:szCs w:val="28"/>
        </w:rPr>
        <w:t>三、项目建设意义与综合价值</w:t>
      </w:r>
    </w:p>
    <w:p w14:paraId="7F0D95F6">
      <w:pPr>
        <w:spacing w:before="60" w:after="60" w:line="360" w:lineRule="auto"/>
        <w:ind w:firstLine="480"/>
      </w:pPr>
      <w:r>
        <w:rPr>
          <w:rFonts w:ascii="Times New Roman" w:hAnsi="Times New Roman" w:eastAsia="仿宋" w:cs="Times New Roman"/>
          <w:color w:val="000000"/>
          <w:sz w:val="24"/>
          <w:szCs w:val="24"/>
        </w:rPr>
        <w:t>南山森兰匹克球运动公园的建设，不仅是体育场地设施的增量供给，更是南山文体旅产业融合创新的重要抓手。项目从生态、民生、产业、文旅、公益五个维度，为南山乃至重庆的体育事业和文旅产业注入新动能。</w:t>
      </w:r>
    </w:p>
    <w:p w14:paraId="5C3DBBFE">
      <w:pPr>
        <w:keepNext/>
        <w:spacing w:before="160" w:after="80" w:line="360" w:lineRule="auto"/>
        <w:ind w:firstLine="480"/>
      </w:pPr>
      <w:r>
        <w:rPr>
          <w:rFonts w:ascii="Times New Roman" w:hAnsi="Times New Roman" w:eastAsia="黑体" w:cs="Times New Roman"/>
          <w:b/>
          <w:bCs/>
          <w:color w:val="000000"/>
          <w:sz w:val="24"/>
          <w:szCs w:val="24"/>
        </w:rPr>
        <w:t>1. 生态价值：低扰动、轻介入</w:t>
      </w:r>
    </w:p>
    <w:p w14:paraId="2C1C7A66">
      <w:pPr>
        <w:spacing w:before="60" w:after="60" w:line="360" w:lineRule="auto"/>
        <w:ind w:firstLine="480"/>
      </w:pPr>
      <w:r>
        <w:rPr>
          <w:rFonts w:ascii="Times New Roman" w:hAnsi="Times New Roman" w:eastAsia="仿宋" w:cs="Times New Roman"/>
          <w:color w:val="000000"/>
          <w:sz w:val="24"/>
          <w:szCs w:val="24"/>
        </w:rPr>
        <w:t>项目始终坚持“保护中利用、利用中保护”的生态开发原则。采用非永久性装配式建设方式，所有建筑结构均可拆卸回收，回收率超过95%。场地建设使用透水基层和环保材料，确保雨水自然渗透，不破坏湿地水文循环。项目建成后将同步实施生态修复和景观提升，在运动场地周边增植本土植物，提升区域生物多样性和生态服务功能。这一开发模式为城市公园绿地的复合利用提供了创新样本。</w:t>
      </w:r>
    </w:p>
    <w:p w14:paraId="403AADB8">
      <w:pPr>
        <w:keepNext/>
        <w:spacing w:before="160" w:after="80" w:line="360" w:lineRule="auto"/>
        <w:ind w:firstLine="480"/>
      </w:pPr>
      <w:r>
        <w:rPr>
          <w:rFonts w:ascii="Times New Roman" w:hAnsi="Times New Roman" w:eastAsia="黑体" w:cs="Times New Roman"/>
          <w:b/>
          <w:bCs/>
          <w:color w:val="000000"/>
          <w:sz w:val="24"/>
          <w:szCs w:val="24"/>
        </w:rPr>
        <w:t>2. 体育民生价值：补齐群众体育场地短板</w:t>
      </w:r>
    </w:p>
    <w:p w14:paraId="4EB3B45D">
      <w:pPr>
        <w:spacing w:before="60" w:after="60" w:line="360" w:lineRule="auto"/>
        <w:ind w:firstLine="480"/>
      </w:pPr>
      <w:r>
        <w:rPr>
          <w:rFonts w:ascii="Times New Roman" w:hAnsi="Times New Roman" w:eastAsia="仿宋" w:cs="Times New Roman"/>
          <w:color w:val="000000"/>
          <w:sz w:val="24"/>
          <w:szCs w:val="24"/>
        </w:rPr>
        <w:t>当前南山上缺乏高标准、专业化的群众体育运动场地。本项目建成后，将为南山片区及周边居民提供18片专业匹克球场和2片网球场，极大丰富群众的运动选择。匹克球运动入门门槛低、运动强度适中、全龄友好，特别适合在中老年群体和青少年群体中推广。项目将通过公益晨练、低价健身、免费培训等方式，让专业运动场地真正服务于民。</w:t>
      </w:r>
    </w:p>
    <w:p w14:paraId="0A4495F7">
      <w:pPr>
        <w:keepNext/>
        <w:spacing w:before="160" w:after="80" w:line="360" w:lineRule="auto"/>
        <w:ind w:firstLine="480"/>
      </w:pPr>
      <w:r>
        <w:rPr>
          <w:rFonts w:ascii="Times New Roman" w:hAnsi="Times New Roman" w:eastAsia="黑体" w:cs="Times New Roman"/>
          <w:b/>
          <w:bCs/>
          <w:color w:val="000000"/>
          <w:sz w:val="24"/>
          <w:szCs w:val="24"/>
        </w:rPr>
        <w:t>3. 赛事产业价值：西南匹克球赛事总部基地</w:t>
      </w:r>
    </w:p>
    <w:p w14:paraId="5F3E0E6B">
      <w:pPr>
        <w:spacing w:before="60" w:after="60" w:line="360" w:lineRule="auto"/>
        <w:ind w:firstLine="480"/>
      </w:pPr>
      <w:r>
        <w:rPr>
          <w:rFonts w:ascii="Times New Roman" w:hAnsi="Times New Roman" w:eastAsia="仿宋" w:cs="Times New Roman"/>
          <w:color w:val="000000"/>
          <w:sz w:val="24"/>
          <w:szCs w:val="24"/>
        </w:rPr>
        <w:t>依托上海森兰在赛事运营方面的成熟能力，项目将建设成为西南地区匹克球赛事总部基地。上海森兰已成功承办森兰杯CPC600中国匹克球巡回赛上海站、CPC-J90青少年赛、APBA亚匹联洲际联赛森兰站、国奥杯全国青少年U系列匹克球赛事等国家级和洲际级赛事，积累了丰富的赛事策划、执行和招商经验。南山项目具备双组团18片标准球场和全天候顶棚的硬件条件，完全有能力承接同级别甚至更高规格的赛事活动。预计年均举办市级及以上赛事数十场，带动参赛、观赛、旅游等综合消费。</w:t>
      </w:r>
    </w:p>
    <w:p w14:paraId="598AD1DF">
      <w:pPr>
        <w:keepNext/>
        <w:spacing w:before="160" w:after="80" w:line="360" w:lineRule="auto"/>
        <w:ind w:firstLine="480"/>
      </w:pPr>
      <w:r>
        <w:rPr>
          <w:rFonts w:ascii="Times New Roman" w:hAnsi="Times New Roman" w:eastAsia="黑体" w:cs="Times New Roman"/>
          <w:b/>
          <w:bCs/>
          <w:color w:val="000000"/>
          <w:sz w:val="24"/>
          <w:szCs w:val="24"/>
        </w:rPr>
        <w:t>4. 文旅融合价值</w:t>
      </w:r>
    </w:p>
    <w:p w14:paraId="16510EA4">
      <w:pPr>
        <w:spacing w:before="60" w:after="60" w:line="360" w:lineRule="auto"/>
        <w:ind w:firstLine="480"/>
      </w:pPr>
      <w:r>
        <w:rPr>
          <w:rFonts w:ascii="Times New Roman" w:hAnsi="Times New Roman" w:eastAsia="仿宋" w:cs="Times New Roman"/>
          <w:color w:val="000000"/>
          <w:sz w:val="24"/>
          <w:szCs w:val="24"/>
        </w:rPr>
        <w:t>项目创造性地将匹克球运动与南山旅游资源深度融合，打造“登南山+观湿地+体育运动+康养休闲+文体展览”的一站式文旅体验动线。借鉴上海森兰匹克球公园成功落地的“票根经济”模式，联动南山片区周边商业体、酒店、餐饮和文创商户，形成“运动引流—消费转化—产业共赢”的良性循环。赛事期间举办主题市集、文体展览、运动嘉年华等活动，进一步丰富南山的文旅消费场景，提升游客停留时间和消费深度。</w:t>
      </w:r>
    </w:p>
    <w:p w14:paraId="192DAF41">
      <w:pPr>
        <w:keepNext/>
        <w:spacing w:before="160" w:after="80" w:line="360" w:lineRule="auto"/>
        <w:ind w:firstLine="480"/>
      </w:pPr>
      <w:r>
        <w:rPr>
          <w:rFonts w:ascii="Times New Roman" w:hAnsi="Times New Roman" w:eastAsia="黑体" w:cs="Times New Roman"/>
          <w:b/>
          <w:bCs/>
          <w:color w:val="000000"/>
          <w:sz w:val="24"/>
          <w:szCs w:val="24"/>
        </w:rPr>
        <w:t>5. 社会公益价值</w:t>
      </w:r>
    </w:p>
    <w:p w14:paraId="30552F46">
      <w:pPr>
        <w:spacing w:before="60" w:after="60" w:line="360" w:lineRule="auto"/>
        <w:ind w:firstLine="480"/>
      </w:pPr>
      <w:r>
        <w:rPr>
          <w:rFonts w:ascii="Times New Roman" w:hAnsi="Times New Roman" w:eastAsia="仿宋" w:cs="Times New Roman"/>
          <w:color w:val="000000"/>
          <w:sz w:val="24"/>
          <w:szCs w:val="24"/>
        </w:rPr>
        <w:t>项目将延续上海森兰的公益运营传统，设置晨间公益开放时段，以极低价格面向市民开放，让更多人享受专业运动场地。常态化开展全民健身公益课堂、职工夜校匹克球课程、青少年校园匹克球普及计划，让匹克球运动走进社区、走进校园、走进职工生活。同时开展教练认证和裁判员培训，为重庆乃至西南地区培养匹克球专业人才，推动区域匹克球运动水平的整体提升。</w:t>
      </w:r>
    </w:p>
    <w:p w14:paraId="09DE4D9D">
      <w:pPr>
        <w:keepNext/>
        <w:spacing w:before="200" w:after="100" w:line="360" w:lineRule="auto"/>
      </w:pPr>
      <w:r>
        <w:rPr>
          <w:rFonts w:ascii="Times New Roman" w:hAnsi="Times New Roman" w:eastAsia="黑体" w:cs="Times New Roman"/>
          <w:b/>
          <w:bCs/>
          <w:color w:val="000000"/>
          <w:sz w:val="28"/>
          <w:szCs w:val="28"/>
        </w:rPr>
        <w:t>四、项目运营模式</w:t>
      </w:r>
    </w:p>
    <w:p w14:paraId="32523037">
      <w:pPr>
        <w:spacing w:before="60" w:after="60" w:line="360" w:lineRule="auto"/>
        <w:ind w:firstLine="480"/>
      </w:pPr>
      <w:r>
        <w:rPr>
          <w:rFonts w:ascii="Times New Roman" w:hAnsi="Times New Roman" w:eastAsia="仿宋" w:cs="Times New Roman"/>
          <w:color w:val="000000"/>
          <w:sz w:val="24"/>
          <w:szCs w:val="24"/>
        </w:rPr>
        <w:t>项目采用“政府引导、公益打底、市场运作、体旅赋能、可持续自运营”的运营模式，在保障公益属性的前提下，通过市场化手段实现项目的自我造血和可持续发展。上海森兰在上海森兰匹克球公园的运营实践中，已验证了“公益打底、会员为基、赛事拔高、培训增收、体商联动放大价值”的运营逻辑，形成了兼顾社会效益与经济效益的成熟运营体系。南山项目将在此基础上进行本地化升级，构建四大运营板块和五大营收结构。</w:t>
      </w:r>
    </w:p>
    <w:p w14:paraId="6862AD13">
      <w:pPr>
        <w:spacing w:before="120" w:after="60" w:line="360" w:lineRule="auto"/>
        <w:ind w:firstLine="480"/>
      </w:pPr>
      <w:r>
        <w:rPr>
          <w:rFonts w:ascii="Times New Roman" w:hAnsi="Times New Roman" w:eastAsia="黑体" w:cs="Times New Roman"/>
          <w:b/>
          <w:bCs/>
          <w:color w:val="000000"/>
          <w:sz w:val="24"/>
          <w:szCs w:val="24"/>
        </w:rPr>
        <w:t>（一）四大运营板块</w:t>
      </w:r>
    </w:p>
    <w:p w14:paraId="060B014A">
      <w:pPr>
        <w:keepNext/>
        <w:spacing w:before="160" w:after="80" w:line="360" w:lineRule="auto"/>
        <w:ind w:firstLine="480"/>
      </w:pPr>
      <w:r>
        <w:rPr>
          <w:rFonts w:ascii="Times New Roman" w:hAnsi="Times New Roman" w:eastAsia="黑体" w:cs="Times New Roman"/>
          <w:b/>
          <w:bCs/>
          <w:color w:val="000000"/>
          <w:sz w:val="24"/>
          <w:szCs w:val="24"/>
        </w:rPr>
        <w:t>1. 公益普惠板块</w:t>
      </w:r>
    </w:p>
    <w:p w14:paraId="6C256A94">
      <w:pPr>
        <w:spacing w:before="60" w:after="60" w:line="360" w:lineRule="auto"/>
        <w:ind w:firstLine="480"/>
      </w:pPr>
      <w:r>
        <w:rPr>
          <w:rFonts w:ascii="Times New Roman" w:hAnsi="Times New Roman" w:eastAsia="仿宋" w:cs="Times New Roman"/>
          <w:color w:val="000000"/>
          <w:sz w:val="24"/>
          <w:szCs w:val="24"/>
        </w:rPr>
        <w:t>延续上海森兰匹克球公园“早间公益场”的成功做法，设置每日晨间公益开放时段，以20元/人的低价向市民开放，满足晨练群体的运动需求。常态化开设全民健身公益课堂，面向零基础市民提供免费入门教学。联合工会系统开展职工夜校匹克球课程，丰富职工业余生活。这一板块以社会效益为首要目标，通过低门槛、低价格的公益服务，培育匹克球运动人口，扩大项目的社会影响力和群众基础。</w:t>
      </w:r>
    </w:p>
    <w:p w14:paraId="47F59B12">
      <w:pPr>
        <w:keepNext/>
        <w:spacing w:before="160" w:after="80" w:line="360" w:lineRule="auto"/>
        <w:ind w:firstLine="480"/>
      </w:pPr>
      <w:r>
        <w:rPr>
          <w:rFonts w:ascii="Times New Roman" w:hAnsi="Times New Roman" w:eastAsia="黑体" w:cs="Times New Roman"/>
          <w:b/>
          <w:bCs/>
          <w:color w:val="000000"/>
          <w:sz w:val="24"/>
          <w:szCs w:val="24"/>
        </w:rPr>
        <w:t>2. 全民健身板块</w:t>
      </w:r>
    </w:p>
    <w:p w14:paraId="6259BD61">
      <w:pPr>
        <w:spacing w:before="60" w:after="60" w:line="360" w:lineRule="auto"/>
        <w:ind w:firstLine="480"/>
      </w:pPr>
      <w:r>
        <w:rPr>
          <w:rFonts w:ascii="Times New Roman" w:hAnsi="Times New Roman" w:eastAsia="仿宋" w:cs="Times New Roman"/>
          <w:color w:val="000000"/>
          <w:sz w:val="24"/>
          <w:szCs w:val="24"/>
        </w:rPr>
        <w:t>面向日常健身人群，提供散客入场、会员体系、青少年教学等多元化服务。实行分时段收费模式：晨间公益场、午间优惠场、夜间黄金场，满足不同时段、不同消费能力群体的需求。建立完善的会员体系，设置次卡、月卡、年卡等多种会员产品，培养稳定的球友社群。借鉴上海经验，建立完整的入门—进阶教练教学体系，开设青少年培训班和成人课程，满足不同年龄层的运动学习需求。在上海的运营实践中，这一板块已形成稳定的球友社群和较高的日常场地使用率，是项目营收的基础性来源。</w:t>
      </w:r>
    </w:p>
    <w:p w14:paraId="2E1325C5">
      <w:pPr>
        <w:keepNext/>
        <w:spacing w:before="160" w:after="80" w:line="360" w:lineRule="auto"/>
        <w:ind w:firstLine="480"/>
      </w:pPr>
      <w:r>
        <w:rPr>
          <w:rFonts w:ascii="Times New Roman" w:hAnsi="Times New Roman" w:eastAsia="黑体" w:cs="Times New Roman"/>
          <w:b/>
          <w:bCs/>
          <w:color w:val="000000"/>
          <w:sz w:val="24"/>
          <w:szCs w:val="24"/>
        </w:rPr>
        <w:t>3. 赛事活动板块</w:t>
      </w:r>
    </w:p>
    <w:p w14:paraId="36781A28">
      <w:pPr>
        <w:spacing w:before="60" w:after="60" w:line="360" w:lineRule="auto"/>
        <w:ind w:firstLine="480"/>
      </w:pPr>
      <w:r>
        <w:rPr>
          <w:rFonts w:ascii="Times New Roman" w:hAnsi="Times New Roman" w:eastAsia="仿宋" w:cs="Times New Roman"/>
          <w:color w:val="000000"/>
          <w:sz w:val="24"/>
          <w:szCs w:val="24"/>
        </w:rPr>
        <w:t>依托上海森兰在赛事运营方面的专业能力，南山项目将积极承接各级各类匹克球赛事。包括市级锦标赛、区域联赛、企业冠名赛、品牌主题活动等。上海森兰已成功承办CPC600中国匹克球巡回赛（吸引全国400余名选手参赛）、APBA亚匹联洲际联赛等高级别赛事，具备从国家级到洲际级赛事的完整落地能力。南山项目将充分利用这一经验优势，打造“西南匹克球赛事总部”品牌，通过赛事带动参赛、观赛、旅游、餐饮、住宿等综合消费，放大赛事经济效应。</w:t>
      </w:r>
    </w:p>
    <w:p w14:paraId="0D9C7688">
      <w:pPr>
        <w:keepNext/>
        <w:spacing w:before="160" w:after="80" w:line="360" w:lineRule="auto"/>
        <w:ind w:firstLine="480"/>
      </w:pPr>
      <w:r>
        <w:rPr>
          <w:rFonts w:ascii="Times New Roman" w:hAnsi="Times New Roman" w:eastAsia="黑体" w:cs="Times New Roman"/>
          <w:b/>
          <w:bCs/>
          <w:color w:val="000000"/>
          <w:sz w:val="24"/>
          <w:szCs w:val="24"/>
        </w:rPr>
        <w:t>4. 产业延伸板块</w:t>
      </w:r>
    </w:p>
    <w:p w14:paraId="74A9DB53">
      <w:pPr>
        <w:spacing w:before="60" w:after="60" w:line="360" w:lineRule="auto"/>
        <w:ind w:firstLine="480"/>
      </w:pPr>
      <w:r>
        <w:rPr>
          <w:rFonts w:ascii="Times New Roman" w:hAnsi="Times New Roman" w:eastAsia="仿宋" w:cs="Times New Roman"/>
          <w:color w:val="000000"/>
          <w:sz w:val="24"/>
          <w:szCs w:val="24"/>
        </w:rPr>
        <w:t>在核心运动业务之外，项目积极拓展产业延伸价值。开展教练员认证培训和裁判员培训，为西南地区输送专业人才。开发体育文创产品，打造南山森兰品牌IP。经营匹克球及网球装备零售业务。承接企业团建定制服务、工会活动等B端业务。联动周边商业资源，复制上海“票根经济”模式，实现运动消费与文旅消费的双向赋能。</w:t>
      </w:r>
    </w:p>
    <w:p w14:paraId="2A3CEC66">
      <w:pPr>
        <w:spacing w:before="120" w:after="60" w:line="360" w:lineRule="auto"/>
        <w:ind w:firstLine="480"/>
      </w:pPr>
      <w:r>
        <w:rPr>
          <w:rFonts w:ascii="Times New Roman" w:hAnsi="Times New Roman" w:eastAsia="黑体" w:cs="Times New Roman"/>
          <w:b/>
          <w:bCs/>
          <w:color w:val="000000"/>
          <w:sz w:val="24"/>
          <w:szCs w:val="24"/>
        </w:rPr>
        <w:t>（二）五大营收结构</w:t>
      </w:r>
    </w:p>
    <w:p w14:paraId="55A371D2">
      <w:pPr>
        <w:spacing w:before="60" w:after="60" w:line="360" w:lineRule="auto"/>
        <w:ind w:firstLine="480"/>
      </w:pPr>
      <w:r>
        <w:rPr>
          <w:rFonts w:ascii="Times New Roman" w:hAnsi="Times New Roman" w:eastAsia="仿宋" w:cs="Times New Roman"/>
          <w:color w:val="000000"/>
          <w:sz w:val="24"/>
          <w:szCs w:val="24"/>
        </w:rPr>
        <w:t>项目营收来源覆盖五大板块，形成多元化、抗风险的营收结构：</w:t>
      </w:r>
    </w:p>
    <w:tbl>
      <w:tblPr>
        <w:tblStyle w:val="11"/>
        <w:tblW w:w="8666" w:type="dxa"/>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60" w:type="dxa"/>
          <w:left w:w="120" w:type="dxa"/>
          <w:bottom w:w="60" w:type="dxa"/>
          <w:right w:w="120" w:type="dxa"/>
        </w:tblCellMar>
      </w:tblPr>
      <w:tblGrid>
        <w:gridCol w:w="2888"/>
        <w:gridCol w:w="2888"/>
        <w:gridCol w:w="2890"/>
      </w:tblGrid>
      <w:tr w14:paraId="4FEFBD9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blHeader/>
        </w:trPr>
        <w:tc>
          <w:tcPr>
            <w:tcW w:w="2888" w:type="dxa"/>
            <w:tcBorders>
              <w:top w:val="single" w:color="000000" w:sz="8" w:space="0"/>
              <w:left w:val="nil"/>
              <w:bottom w:val="single" w:color="000000" w:sz="6" w:space="0"/>
              <w:right w:val="nil"/>
            </w:tcBorders>
          </w:tcPr>
          <w:p w14:paraId="7C112557">
            <w:pPr>
              <w:spacing w:before="40" w:after="40"/>
              <w:jc w:val="center"/>
            </w:pPr>
            <w:r>
              <w:rPr>
                <w:rFonts w:ascii="Times New Roman" w:hAnsi="Times New Roman" w:eastAsia="黑体" w:cs="Times New Roman"/>
                <w:b/>
                <w:bCs/>
                <w:color w:val="000000"/>
                <w:sz w:val="22"/>
                <w:szCs w:val="22"/>
              </w:rPr>
              <w:t>营收板块</w:t>
            </w:r>
          </w:p>
        </w:tc>
        <w:tc>
          <w:tcPr>
            <w:tcW w:w="2888" w:type="dxa"/>
            <w:tcBorders>
              <w:top w:val="single" w:color="000000" w:sz="8" w:space="0"/>
              <w:left w:val="nil"/>
              <w:bottom w:val="single" w:color="000000" w:sz="6" w:space="0"/>
              <w:right w:val="nil"/>
            </w:tcBorders>
          </w:tcPr>
          <w:p w14:paraId="0B3FBF14">
            <w:pPr>
              <w:spacing w:before="40" w:after="40"/>
              <w:jc w:val="center"/>
            </w:pPr>
            <w:r>
              <w:rPr>
                <w:rFonts w:ascii="Times New Roman" w:hAnsi="Times New Roman" w:eastAsia="黑体" w:cs="Times New Roman"/>
                <w:b/>
                <w:bCs/>
                <w:color w:val="000000"/>
                <w:sz w:val="22"/>
                <w:szCs w:val="22"/>
              </w:rPr>
              <w:t>主要内容</w:t>
            </w:r>
          </w:p>
        </w:tc>
        <w:tc>
          <w:tcPr>
            <w:tcW w:w="2890" w:type="dxa"/>
            <w:tcBorders>
              <w:top w:val="single" w:color="000000" w:sz="8" w:space="0"/>
              <w:left w:val="nil"/>
              <w:bottom w:val="single" w:color="000000" w:sz="6" w:space="0"/>
              <w:right w:val="nil"/>
            </w:tcBorders>
          </w:tcPr>
          <w:p w14:paraId="7E1D3E0A">
            <w:pPr>
              <w:spacing w:before="40" w:after="40"/>
              <w:jc w:val="center"/>
            </w:pPr>
            <w:r>
              <w:rPr>
                <w:rFonts w:ascii="Times New Roman" w:hAnsi="Times New Roman" w:eastAsia="黑体" w:cs="Times New Roman"/>
                <w:b/>
                <w:bCs/>
                <w:color w:val="000000"/>
                <w:sz w:val="22"/>
                <w:szCs w:val="22"/>
              </w:rPr>
              <w:t>预期占比</w:t>
            </w:r>
          </w:p>
        </w:tc>
      </w:tr>
      <w:tr w14:paraId="1CB8BBA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52B0C771">
            <w:pPr>
              <w:spacing w:before="30" w:after="30"/>
            </w:pPr>
            <w:r>
              <w:rPr>
                <w:rFonts w:ascii="Times New Roman" w:hAnsi="Times New Roman" w:eastAsia="宋体" w:cs="Times New Roman"/>
                <w:color w:val="000000"/>
                <w:sz w:val="22"/>
                <w:szCs w:val="22"/>
              </w:rPr>
              <w:t>场地租赁</w:t>
            </w:r>
          </w:p>
        </w:tc>
        <w:tc>
          <w:tcPr>
            <w:tcW w:w="2888" w:type="dxa"/>
            <w:tcBorders>
              <w:top w:val="nil"/>
              <w:left w:val="nil"/>
              <w:bottom w:val="single" w:color="000000" w:sz="2" w:space="0"/>
              <w:right w:val="nil"/>
            </w:tcBorders>
          </w:tcPr>
          <w:p w14:paraId="594675A4">
            <w:pPr>
              <w:spacing w:before="30" w:after="30"/>
            </w:pPr>
            <w:r>
              <w:rPr>
                <w:rFonts w:ascii="Times New Roman" w:hAnsi="Times New Roman" w:eastAsia="宋体" w:cs="Times New Roman"/>
                <w:color w:val="000000"/>
                <w:sz w:val="22"/>
                <w:szCs w:val="22"/>
              </w:rPr>
              <w:t>匹克球及网球场地分时段收费、包场、会员/次卡/月卡/年卡</w:t>
            </w:r>
          </w:p>
        </w:tc>
        <w:tc>
          <w:tcPr>
            <w:tcW w:w="2890" w:type="dxa"/>
            <w:tcBorders>
              <w:top w:val="nil"/>
              <w:left w:val="nil"/>
              <w:bottom w:val="single" w:color="000000" w:sz="2" w:space="0"/>
              <w:right w:val="nil"/>
            </w:tcBorders>
          </w:tcPr>
          <w:p w14:paraId="64BDFB44">
            <w:pPr>
              <w:spacing w:before="30" w:after="30"/>
            </w:pPr>
            <w:r>
              <w:rPr>
                <w:rFonts w:ascii="Times New Roman" w:hAnsi="Times New Roman" w:eastAsia="宋体" w:cs="Times New Roman"/>
                <w:color w:val="000000"/>
                <w:sz w:val="22"/>
                <w:szCs w:val="22"/>
              </w:rPr>
              <w:t>约35%</w:t>
            </w:r>
          </w:p>
        </w:tc>
      </w:tr>
      <w:tr w14:paraId="2CD0895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582F90A1">
            <w:pPr>
              <w:spacing w:before="30" w:after="30"/>
            </w:pPr>
            <w:r>
              <w:rPr>
                <w:rFonts w:ascii="Times New Roman" w:hAnsi="Times New Roman" w:eastAsia="宋体" w:cs="Times New Roman"/>
                <w:color w:val="000000"/>
                <w:sz w:val="22"/>
                <w:szCs w:val="22"/>
              </w:rPr>
              <w:t>培训教学</w:t>
            </w:r>
          </w:p>
        </w:tc>
        <w:tc>
          <w:tcPr>
            <w:tcW w:w="2888" w:type="dxa"/>
            <w:tcBorders>
              <w:top w:val="nil"/>
              <w:left w:val="nil"/>
              <w:bottom w:val="single" w:color="000000" w:sz="2" w:space="0"/>
              <w:right w:val="nil"/>
            </w:tcBorders>
          </w:tcPr>
          <w:p w14:paraId="30BD3075">
            <w:pPr>
              <w:spacing w:before="30" w:after="30"/>
            </w:pPr>
            <w:r>
              <w:rPr>
                <w:rFonts w:ascii="Times New Roman" w:hAnsi="Times New Roman" w:eastAsia="宋体" w:cs="Times New Roman"/>
                <w:color w:val="000000"/>
                <w:sz w:val="22"/>
                <w:szCs w:val="22"/>
              </w:rPr>
              <w:t>青少年培训班、成人课程、私教课、教练及裁判认证培训</w:t>
            </w:r>
          </w:p>
        </w:tc>
        <w:tc>
          <w:tcPr>
            <w:tcW w:w="2890" w:type="dxa"/>
            <w:tcBorders>
              <w:top w:val="nil"/>
              <w:left w:val="nil"/>
              <w:bottom w:val="single" w:color="000000" w:sz="2" w:space="0"/>
              <w:right w:val="nil"/>
            </w:tcBorders>
          </w:tcPr>
          <w:p w14:paraId="7CCA7B9C">
            <w:pPr>
              <w:spacing w:before="30" w:after="30"/>
            </w:pPr>
            <w:r>
              <w:rPr>
                <w:rFonts w:ascii="Times New Roman" w:hAnsi="Times New Roman" w:eastAsia="宋体" w:cs="Times New Roman"/>
                <w:color w:val="000000"/>
                <w:sz w:val="22"/>
                <w:szCs w:val="22"/>
              </w:rPr>
              <w:t>约25%</w:t>
            </w:r>
          </w:p>
        </w:tc>
      </w:tr>
      <w:tr w14:paraId="1803D33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rPr>
          <w:cantSplit/>
        </w:trPr>
        <w:tc>
          <w:tcPr>
            <w:tcW w:w="2888" w:type="dxa"/>
            <w:tcBorders>
              <w:top w:val="nil"/>
              <w:left w:val="nil"/>
              <w:bottom w:val="single" w:color="000000" w:sz="2" w:space="0"/>
              <w:right w:val="nil"/>
            </w:tcBorders>
          </w:tcPr>
          <w:p w14:paraId="72BE9909">
            <w:pPr>
              <w:spacing w:before="30" w:after="30"/>
            </w:pPr>
            <w:r>
              <w:rPr>
                <w:rFonts w:ascii="Times New Roman" w:hAnsi="Times New Roman" w:eastAsia="宋体" w:cs="Times New Roman"/>
                <w:color w:val="000000"/>
                <w:sz w:val="22"/>
                <w:szCs w:val="22"/>
              </w:rPr>
              <w:t>赛事服务</w:t>
            </w:r>
          </w:p>
        </w:tc>
        <w:tc>
          <w:tcPr>
            <w:tcW w:w="2888" w:type="dxa"/>
            <w:tcBorders>
              <w:top w:val="nil"/>
              <w:left w:val="nil"/>
              <w:bottom w:val="single" w:color="000000" w:sz="2" w:space="0"/>
              <w:right w:val="nil"/>
            </w:tcBorders>
          </w:tcPr>
          <w:p w14:paraId="5EEB4B64">
            <w:pPr>
              <w:spacing w:before="30" w:after="30"/>
            </w:pPr>
            <w:r>
              <w:rPr>
                <w:rFonts w:ascii="Times New Roman" w:hAnsi="Times New Roman" w:eastAsia="宋体" w:cs="Times New Roman"/>
                <w:color w:val="000000"/>
                <w:sz w:val="22"/>
                <w:szCs w:val="22"/>
              </w:rPr>
              <w:t>赛事承办费、策划执行、赞助招商、展位招商</w:t>
            </w:r>
          </w:p>
        </w:tc>
        <w:tc>
          <w:tcPr>
            <w:tcW w:w="2890" w:type="dxa"/>
            <w:tcBorders>
              <w:top w:val="nil"/>
              <w:left w:val="nil"/>
              <w:bottom w:val="single" w:color="000000" w:sz="2" w:space="0"/>
              <w:right w:val="nil"/>
            </w:tcBorders>
          </w:tcPr>
          <w:p w14:paraId="38BF068B">
            <w:pPr>
              <w:spacing w:before="30" w:after="30"/>
            </w:pPr>
            <w:r>
              <w:rPr>
                <w:rFonts w:ascii="Times New Roman" w:hAnsi="Times New Roman" w:eastAsia="宋体" w:cs="Times New Roman"/>
                <w:color w:val="000000"/>
                <w:sz w:val="22"/>
                <w:szCs w:val="22"/>
              </w:rPr>
              <w:t>约20%</w:t>
            </w:r>
          </w:p>
        </w:tc>
      </w:tr>
      <w:tr w14:paraId="710EA1D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217ABB3F">
            <w:pPr>
              <w:spacing w:before="30" w:after="30"/>
            </w:pPr>
            <w:r>
              <w:rPr>
                <w:rFonts w:ascii="Times New Roman" w:hAnsi="Times New Roman" w:eastAsia="宋体" w:cs="Times New Roman"/>
                <w:color w:val="000000"/>
                <w:sz w:val="22"/>
                <w:szCs w:val="22"/>
              </w:rPr>
              <w:t>装备与文创零售</w:t>
            </w:r>
          </w:p>
        </w:tc>
        <w:tc>
          <w:tcPr>
            <w:tcW w:w="2888" w:type="dxa"/>
            <w:tcBorders>
              <w:top w:val="nil"/>
              <w:left w:val="nil"/>
              <w:bottom w:val="single" w:color="000000" w:sz="2" w:space="0"/>
              <w:right w:val="nil"/>
            </w:tcBorders>
          </w:tcPr>
          <w:p w14:paraId="30B84502">
            <w:pPr>
              <w:spacing w:before="30" w:after="30"/>
            </w:pPr>
            <w:r>
              <w:rPr>
                <w:rFonts w:ascii="Times New Roman" w:hAnsi="Times New Roman" w:eastAsia="宋体" w:cs="Times New Roman"/>
                <w:color w:val="000000"/>
                <w:sz w:val="22"/>
                <w:szCs w:val="22"/>
              </w:rPr>
              <w:t>匹克球装备销售、品牌文创产品</w:t>
            </w:r>
          </w:p>
        </w:tc>
        <w:tc>
          <w:tcPr>
            <w:tcW w:w="2890" w:type="dxa"/>
            <w:tcBorders>
              <w:top w:val="nil"/>
              <w:left w:val="nil"/>
              <w:bottom w:val="single" w:color="000000" w:sz="2" w:space="0"/>
              <w:right w:val="nil"/>
            </w:tcBorders>
          </w:tcPr>
          <w:p w14:paraId="718C59A5">
            <w:pPr>
              <w:spacing w:before="30" w:after="30"/>
            </w:pPr>
            <w:r>
              <w:rPr>
                <w:rFonts w:ascii="Times New Roman" w:hAnsi="Times New Roman" w:eastAsia="宋体" w:cs="Times New Roman"/>
                <w:color w:val="000000"/>
                <w:sz w:val="22"/>
                <w:szCs w:val="22"/>
              </w:rPr>
              <w:t>约10%</w:t>
            </w:r>
          </w:p>
        </w:tc>
      </w:tr>
      <w:tr w14:paraId="04EDA28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8" w:space="0"/>
              <w:right w:val="nil"/>
            </w:tcBorders>
          </w:tcPr>
          <w:p w14:paraId="23C5BF99">
            <w:pPr>
              <w:spacing w:before="30" w:after="30"/>
            </w:pPr>
            <w:r>
              <w:rPr>
                <w:rFonts w:ascii="Times New Roman" w:hAnsi="Times New Roman" w:eastAsia="宋体" w:cs="Times New Roman"/>
                <w:color w:val="000000"/>
                <w:sz w:val="22"/>
                <w:szCs w:val="22"/>
              </w:rPr>
              <w:t>衍生合作</w:t>
            </w:r>
          </w:p>
        </w:tc>
        <w:tc>
          <w:tcPr>
            <w:tcW w:w="2888" w:type="dxa"/>
            <w:tcBorders>
              <w:top w:val="nil"/>
              <w:left w:val="nil"/>
              <w:bottom w:val="single" w:color="000000" w:sz="8" w:space="0"/>
              <w:right w:val="nil"/>
            </w:tcBorders>
          </w:tcPr>
          <w:p w14:paraId="3E331D8F">
            <w:pPr>
              <w:spacing w:before="30" w:after="30"/>
            </w:pPr>
            <w:r>
              <w:rPr>
                <w:rFonts w:ascii="Times New Roman" w:hAnsi="Times New Roman" w:eastAsia="宋体" w:cs="Times New Roman"/>
                <w:color w:val="000000"/>
                <w:sz w:val="22"/>
                <w:szCs w:val="22"/>
              </w:rPr>
              <w:t>企业团建、工会活动、商业联动、品牌活动、咖啡轻食、旅拍</w:t>
            </w:r>
          </w:p>
        </w:tc>
        <w:tc>
          <w:tcPr>
            <w:tcW w:w="2890" w:type="dxa"/>
            <w:tcBorders>
              <w:top w:val="nil"/>
              <w:left w:val="nil"/>
              <w:bottom w:val="single" w:color="000000" w:sz="8" w:space="0"/>
              <w:right w:val="nil"/>
            </w:tcBorders>
          </w:tcPr>
          <w:p w14:paraId="78344D4E">
            <w:pPr>
              <w:spacing w:before="30" w:after="30"/>
            </w:pPr>
            <w:r>
              <w:rPr>
                <w:rFonts w:ascii="Times New Roman" w:hAnsi="Times New Roman" w:eastAsia="宋体" w:cs="Times New Roman"/>
                <w:color w:val="000000"/>
                <w:sz w:val="22"/>
                <w:szCs w:val="22"/>
              </w:rPr>
              <w:t>约10%</w:t>
            </w:r>
          </w:p>
        </w:tc>
      </w:tr>
    </w:tbl>
    <w:p w14:paraId="666F0937">
      <w:pPr>
        <w:keepNext/>
        <w:spacing w:before="200" w:after="100" w:line="360" w:lineRule="auto"/>
      </w:pPr>
      <w:r>
        <w:rPr>
          <w:rFonts w:ascii="Times New Roman" w:hAnsi="Times New Roman" w:eastAsia="黑体" w:cs="Times New Roman"/>
          <w:b/>
          <w:bCs/>
          <w:color w:val="000000"/>
          <w:sz w:val="28"/>
          <w:szCs w:val="28"/>
        </w:rPr>
        <w:t>五、预期建设成效</w:t>
      </w:r>
    </w:p>
    <w:p w14:paraId="48C9C11F">
      <w:pPr>
        <w:spacing w:before="60" w:after="60" w:line="360" w:lineRule="auto"/>
        <w:ind w:firstLine="480"/>
      </w:pPr>
      <w:r>
        <w:rPr>
          <w:rFonts w:ascii="Times New Roman" w:hAnsi="Times New Roman" w:eastAsia="仿宋" w:cs="Times New Roman"/>
          <w:color w:val="000000"/>
          <w:sz w:val="24"/>
          <w:szCs w:val="24"/>
        </w:rPr>
        <w:t>南山森兰匹克球运动公园建成后，预计将实现以下六大建设成效：</w:t>
      </w:r>
    </w:p>
    <w:p w14:paraId="6C5897C1">
      <w:pPr>
        <w:keepNext/>
        <w:spacing w:before="160" w:after="80" w:line="360" w:lineRule="auto"/>
        <w:ind w:firstLine="480"/>
      </w:pPr>
      <w:r>
        <w:rPr>
          <w:rFonts w:ascii="Times New Roman" w:hAnsi="Times New Roman" w:eastAsia="黑体" w:cs="Times New Roman"/>
          <w:b/>
          <w:bCs/>
          <w:color w:val="000000"/>
          <w:sz w:val="24"/>
          <w:szCs w:val="24"/>
        </w:rPr>
        <w:t>1. 西南首个湿地生态+全天候顶棚匹克球体育公园标杆</w:t>
      </w:r>
    </w:p>
    <w:p w14:paraId="3A006C85">
      <w:pPr>
        <w:spacing w:before="60" w:after="60" w:line="360" w:lineRule="auto"/>
        <w:ind w:firstLine="480"/>
      </w:pPr>
      <w:r>
        <w:rPr>
          <w:rFonts w:ascii="Times New Roman" w:hAnsi="Times New Roman" w:eastAsia="仿宋" w:cs="Times New Roman"/>
          <w:color w:val="000000"/>
          <w:sz w:val="24"/>
          <w:szCs w:val="24"/>
        </w:rPr>
        <w:t>项目将建成西南地区首个集湿地生态景观与全天候电动顶棚于一体的专业匹克球体育公园，在全国范围内形成“生态+运动+全天候”的独特标杆，具有极高的行业示范价值和媒体传播价值。</w:t>
      </w:r>
    </w:p>
    <w:p w14:paraId="72E2179F">
      <w:pPr>
        <w:keepNext/>
        <w:spacing w:before="160" w:after="80" w:line="360" w:lineRule="auto"/>
        <w:ind w:firstLine="480"/>
      </w:pPr>
      <w:r>
        <w:rPr>
          <w:rFonts w:ascii="Times New Roman" w:hAnsi="Times New Roman" w:eastAsia="黑体" w:cs="Times New Roman"/>
          <w:b/>
          <w:bCs/>
          <w:color w:val="000000"/>
          <w:sz w:val="24"/>
          <w:szCs w:val="24"/>
        </w:rPr>
        <w:t>2. 填补重庆全天候匹克球专业赛事场地空白</w:t>
      </w:r>
    </w:p>
    <w:p w14:paraId="4A2D3656">
      <w:pPr>
        <w:spacing w:before="60" w:after="60" w:line="360" w:lineRule="auto"/>
        <w:ind w:firstLine="480"/>
      </w:pPr>
      <w:r>
        <w:rPr>
          <w:rFonts w:ascii="Times New Roman" w:hAnsi="Times New Roman" w:eastAsia="仿宋" w:cs="Times New Roman"/>
          <w:color w:val="000000"/>
          <w:sz w:val="24"/>
          <w:szCs w:val="24"/>
        </w:rPr>
        <w:t>目前重庆尚无具备全天候运营能力的专业匹克球赛事场地。本项目18片标准球场配合双组团可开合顶棚，彻底解决了天气对赛事和运营的制约，为重庆承接中高级别匹克球赛事提供了坚实的硬件基础。目前重庆尚无具备全天候运营能力的专业匹克球赛事场地。本项目18片标准球场配合双组团可开合顶棚，彻底解决了天气对赛事和运营的制约，为重庆承接中高级别匹克球赛事提供了坚实的硬件基础。</w:t>
      </w:r>
    </w:p>
    <w:p w14:paraId="55237E4A">
      <w:pPr>
        <w:keepNext/>
        <w:spacing w:before="160" w:after="80" w:line="360" w:lineRule="auto"/>
        <w:ind w:firstLine="480"/>
      </w:pPr>
      <w:r>
        <w:rPr>
          <w:rFonts w:ascii="Times New Roman" w:hAnsi="Times New Roman" w:eastAsia="黑体" w:cs="Times New Roman"/>
          <w:b/>
          <w:bCs/>
          <w:color w:val="000000"/>
          <w:sz w:val="24"/>
          <w:szCs w:val="24"/>
        </w:rPr>
        <w:t>3. 南山体育+文旅+康养新业态增长极</w:t>
      </w:r>
    </w:p>
    <w:p w14:paraId="56732FAF">
      <w:pPr>
        <w:spacing w:before="60" w:after="60" w:line="360" w:lineRule="auto"/>
        <w:ind w:firstLine="480"/>
      </w:pPr>
      <w:r>
        <w:rPr>
          <w:rFonts w:ascii="Times New Roman" w:hAnsi="Times New Roman" w:eastAsia="仿宋" w:cs="Times New Roman"/>
          <w:color w:val="000000"/>
          <w:sz w:val="24"/>
          <w:szCs w:val="24"/>
        </w:rPr>
        <w:t>项目将运动、文旅、康养三大业态有机融合，为南山注入全新消费场景和客流引擎。预计年均吸引数十万人次运动者和游客，带动周边商业、餐饮、住宿、交通等关联消费增长，成为南山文旅产业升级的新增长极。</w:t>
      </w:r>
    </w:p>
    <w:p w14:paraId="5AA18333">
      <w:pPr>
        <w:keepNext/>
        <w:spacing w:before="160" w:after="80" w:line="360" w:lineRule="auto"/>
        <w:ind w:firstLine="480"/>
      </w:pPr>
      <w:r>
        <w:rPr>
          <w:rFonts w:ascii="Times New Roman" w:hAnsi="Times New Roman" w:eastAsia="黑体" w:cs="Times New Roman"/>
          <w:b/>
          <w:bCs/>
          <w:color w:val="000000"/>
          <w:sz w:val="24"/>
          <w:szCs w:val="24"/>
        </w:rPr>
        <w:t>4. 年均数十场市级/区域级赛事</w:t>
      </w:r>
    </w:p>
    <w:p w14:paraId="0A3BD242">
      <w:pPr>
        <w:spacing w:before="60" w:after="60" w:line="360" w:lineRule="auto"/>
        <w:ind w:firstLine="480"/>
      </w:pPr>
      <w:r>
        <w:rPr>
          <w:rFonts w:ascii="Times New Roman" w:hAnsi="Times New Roman" w:eastAsia="仿宋" w:cs="Times New Roman"/>
          <w:color w:val="000000"/>
          <w:sz w:val="24"/>
          <w:szCs w:val="24"/>
        </w:rPr>
        <w:t>依托上海森兰的赛事资源和运营能力，项目预计年均举办市级及以上赛事数十场，包括区域联赛、市级锦标赛、青少年系列赛、企业冠名赛等，形成常态化、多层次的赛事体系，持续扩大南山的体育品牌影响力。</w:t>
      </w:r>
    </w:p>
    <w:p w14:paraId="221C68F5">
      <w:pPr>
        <w:keepNext/>
        <w:spacing w:before="160" w:after="80" w:line="360" w:lineRule="auto"/>
        <w:ind w:firstLine="480"/>
      </w:pPr>
      <w:r>
        <w:rPr>
          <w:rFonts w:ascii="Times New Roman" w:hAnsi="Times New Roman" w:eastAsia="黑体" w:cs="Times New Roman"/>
          <w:b/>
          <w:bCs/>
          <w:color w:val="000000"/>
          <w:sz w:val="24"/>
          <w:szCs w:val="24"/>
        </w:rPr>
        <w:t>5. 持续全民健身公益服务</w:t>
      </w:r>
    </w:p>
    <w:p w14:paraId="347EBFB7">
      <w:pPr>
        <w:spacing w:before="60" w:after="60" w:line="360" w:lineRule="auto"/>
        <w:ind w:firstLine="480"/>
      </w:pPr>
      <w:r>
        <w:rPr>
          <w:rFonts w:ascii="Times New Roman" w:hAnsi="Times New Roman" w:eastAsia="仿宋" w:cs="Times New Roman"/>
          <w:color w:val="000000"/>
          <w:sz w:val="24"/>
          <w:szCs w:val="24"/>
        </w:rPr>
        <w:t>项目每年将提供数千人次的公益晨练服务、数百场公益培训课程，覆盖青少年、职工、中老年等全年龄群体。通过持续的公益投入，培育匹克球运动人口，提升全民健身服务水平，创造显著的社会效益。</w:t>
      </w:r>
    </w:p>
    <w:p w14:paraId="61F7F2B9">
      <w:pPr>
        <w:keepNext/>
        <w:spacing w:before="160" w:after="80" w:line="360" w:lineRule="auto"/>
        <w:ind w:firstLine="480"/>
      </w:pPr>
      <w:r>
        <w:rPr>
          <w:rFonts w:ascii="Times New Roman" w:hAnsi="Times New Roman" w:eastAsia="黑体" w:cs="Times New Roman"/>
          <w:b/>
          <w:bCs/>
          <w:color w:val="000000"/>
          <w:sz w:val="24"/>
          <w:szCs w:val="24"/>
        </w:rPr>
        <w:t>6. 可复制的山地生态体育公园样板</w:t>
      </w:r>
    </w:p>
    <w:p w14:paraId="4BE7D9ED">
      <w:pPr>
        <w:spacing w:before="60" w:after="60" w:line="360" w:lineRule="auto"/>
        <w:ind w:firstLine="480"/>
      </w:pPr>
      <w:r>
        <w:rPr>
          <w:rFonts w:ascii="Times New Roman" w:hAnsi="Times New Roman" w:eastAsia="仿宋" w:cs="Times New Roman"/>
          <w:color w:val="000000"/>
          <w:sz w:val="24"/>
          <w:szCs w:val="24"/>
        </w:rPr>
        <w:t>项目在山地地形处理、湿地生态保护、非永久性建设、全天候运营等方面的创新实践，将为全国山地城市提供可复制、可推广的生态体育公园建设样板。项目的成功经验可推广至西南乃至全国其他山地城市，提升上海森兰和南山的行业影响力和品牌价值。</w:t>
      </w:r>
    </w:p>
    <w:p w14:paraId="631F7E66">
      <w:pPr>
        <w:keepNext/>
        <w:spacing w:before="200" w:after="100" w:line="360" w:lineRule="auto"/>
      </w:pPr>
      <w:r>
        <w:rPr>
          <w:rFonts w:ascii="Times New Roman" w:hAnsi="Times New Roman" w:eastAsia="黑体" w:cs="Times New Roman"/>
          <w:b/>
          <w:bCs/>
          <w:color w:val="000000"/>
          <w:sz w:val="28"/>
          <w:szCs w:val="28"/>
        </w:rPr>
        <w:t>六、项目投资</w:t>
      </w:r>
    </w:p>
    <w:p w14:paraId="0F6AB89E">
      <w:pPr>
        <w:spacing w:before="60" w:after="60" w:line="360" w:lineRule="auto"/>
        <w:ind w:firstLine="480"/>
      </w:pPr>
      <w:r>
        <w:rPr>
          <w:rFonts w:ascii="Times New Roman" w:hAnsi="Times New Roman" w:eastAsia="仿宋" w:cs="Times New Roman"/>
          <w:color w:val="000000"/>
          <w:sz w:val="24"/>
          <w:szCs w:val="24"/>
        </w:rPr>
        <w:t>上海森兰匹界体育发展有限公司计划投资约1100万元，负责项目整体策划、土地三通一平、电力迁改、管涵排水通道、非永久性匹克球及网球场建设（18片匹克球+2片网球）。</w:t>
      </w:r>
    </w:p>
    <w:p w14:paraId="178502AD">
      <w:pPr>
        <w:keepNext/>
        <w:spacing w:before="160" w:after="80" w:line="360" w:lineRule="auto"/>
        <w:ind w:firstLine="480"/>
      </w:pPr>
      <w:r>
        <w:rPr>
          <w:rFonts w:ascii="Times New Roman" w:hAnsi="Times New Roman" w:eastAsia="黑体" w:cs="Times New Roman"/>
          <w:b/>
          <w:bCs/>
          <w:color w:val="000000"/>
          <w:sz w:val="24"/>
          <w:szCs w:val="24"/>
        </w:rPr>
        <w:t>（一）投资分配</w:t>
      </w:r>
    </w:p>
    <w:p w14:paraId="78A4EA6B">
      <w:pPr>
        <w:spacing w:before="60" w:after="60" w:line="360" w:lineRule="auto"/>
        <w:ind w:firstLine="480"/>
      </w:pPr>
      <w:r>
        <w:rPr>
          <w:rFonts w:ascii="Times New Roman" w:hAnsi="Times New Roman" w:eastAsia="仿宋" w:cs="Times New Roman"/>
          <w:color w:val="000000"/>
          <w:sz w:val="24"/>
          <w:szCs w:val="24"/>
        </w:rPr>
        <w:t>总投入约1100万元，具体分配如下：</w:t>
      </w:r>
    </w:p>
    <w:tbl>
      <w:tblPr>
        <w:tblStyle w:val="11"/>
        <w:tblW w:w="8666" w:type="dxa"/>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60" w:type="dxa"/>
          <w:left w:w="120" w:type="dxa"/>
          <w:bottom w:w="60" w:type="dxa"/>
          <w:right w:w="120" w:type="dxa"/>
        </w:tblCellMar>
      </w:tblPr>
      <w:tblGrid>
        <w:gridCol w:w="2888"/>
        <w:gridCol w:w="2888"/>
        <w:gridCol w:w="2890"/>
      </w:tblGrid>
      <w:tr w14:paraId="6FF12F9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blHeader/>
        </w:trPr>
        <w:tc>
          <w:tcPr>
            <w:tcW w:w="2888" w:type="dxa"/>
            <w:tcBorders>
              <w:top w:val="single" w:color="000000" w:sz="8" w:space="0"/>
              <w:left w:val="nil"/>
              <w:bottom w:val="single" w:color="000000" w:sz="6" w:space="0"/>
              <w:right w:val="nil"/>
            </w:tcBorders>
          </w:tcPr>
          <w:p w14:paraId="75A3A80F">
            <w:pPr>
              <w:spacing w:before="40" w:after="40"/>
              <w:jc w:val="center"/>
            </w:pPr>
            <w:r>
              <w:rPr>
                <w:rFonts w:ascii="Times New Roman" w:hAnsi="Times New Roman" w:eastAsia="黑体" w:cs="Times New Roman"/>
                <w:b/>
                <w:bCs/>
                <w:color w:val="000000"/>
                <w:sz w:val="22"/>
                <w:szCs w:val="22"/>
              </w:rPr>
              <w:t>投资项目</w:t>
            </w:r>
          </w:p>
        </w:tc>
        <w:tc>
          <w:tcPr>
            <w:tcW w:w="2888" w:type="dxa"/>
            <w:tcBorders>
              <w:top w:val="single" w:color="000000" w:sz="8" w:space="0"/>
              <w:left w:val="nil"/>
              <w:bottom w:val="single" w:color="000000" w:sz="6" w:space="0"/>
              <w:right w:val="nil"/>
            </w:tcBorders>
          </w:tcPr>
          <w:p w14:paraId="357A7B65">
            <w:pPr>
              <w:spacing w:before="40" w:after="40"/>
              <w:jc w:val="center"/>
            </w:pPr>
            <w:r>
              <w:rPr>
                <w:rFonts w:ascii="Times New Roman" w:hAnsi="Times New Roman" w:eastAsia="黑体" w:cs="Times New Roman"/>
                <w:b/>
                <w:bCs/>
                <w:color w:val="000000"/>
                <w:sz w:val="22"/>
                <w:szCs w:val="22"/>
              </w:rPr>
              <w:t>金额（万元）</w:t>
            </w:r>
          </w:p>
        </w:tc>
        <w:tc>
          <w:tcPr>
            <w:tcW w:w="2890" w:type="dxa"/>
            <w:tcBorders>
              <w:top w:val="single" w:color="000000" w:sz="8" w:space="0"/>
              <w:left w:val="nil"/>
              <w:bottom w:val="single" w:color="000000" w:sz="6" w:space="0"/>
              <w:right w:val="nil"/>
            </w:tcBorders>
          </w:tcPr>
          <w:p w14:paraId="61EDF593">
            <w:pPr>
              <w:spacing w:before="40" w:after="40"/>
              <w:jc w:val="center"/>
            </w:pPr>
            <w:r>
              <w:rPr>
                <w:rFonts w:ascii="Times New Roman" w:hAnsi="Times New Roman" w:eastAsia="黑体" w:cs="Times New Roman"/>
                <w:b/>
                <w:bCs/>
                <w:color w:val="000000"/>
                <w:sz w:val="22"/>
                <w:szCs w:val="22"/>
              </w:rPr>
              <w:t>说明</w:t>
            </w:r>
          </w:p>
        </w:tc>
      </w:tr>
      <w:tr w14:paraId="71D9160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1E84A19D">
            <w:pPr>
              <w:spacing w:before="40" w:after="40"/>
              <w:jc w:val="center"/>
            </w:pPr>
            <w:r>
              <w:rPr>
                <w:rFonts w:ascii="Times New Roman" w:hAnsi="Times New Roman" w:eastAsia="宋体" w:cs="Times New Roman"/>
                <w:color w:val="000000"/>
                <w:sz w:val="22"/>
                <w:szCs w:val="22"/>
              </w:rPr>
              <w:t>土地平整</w:t>
            </w:r>
          </w:p>
        </w:tc>
        <w:tc>
          <w:tcPr>
            <w:tcW w:w="2888" w:type="dxa"/>
            <w:tcBorders>
              <w:top w:val="nil"/>
              <w:left w:val="nil"/>
              <w:bottom w:val="single" w:color="000000" w:sz="2" w:space="0"/>
              <w:right w:val="nil"/>
            </w:tcBorders>
          </w:tcPr>
          <w:p w14:paraId="0DC6F8C8">
            <w:pPr>
              <w:spacing w:before="40" w:after="40"/>
              <w:jc w:val="center"/>
            </w:pPr>
            <w:r>
              <w:rPr>
                <w:rFonts w:ascii="Times New Roman" w:hAnsi="Times New Roman" w:eastAsia="宋体" w:cs="Times New Roman"/>
                <w:color w:val="000000"/>
                <w:sz w:val="22"/>
                <w:szCs w:val="22"/>
              </w:rPr>
              <w:t>约150</w:t>
            </w:r>
          </w:p>
        </w:tc>
        <w:tc>
          <w:tcPr>
            <w:tcW w:w="2890" w:type="dxa"/>
            <w:tcBorders>
              <w:top w:val="nil"/>
              <w:left w:val="nil"/>
              <w:bottom w:val="single" w:color="000000" w:sz="2" w:space="0"/>
              <w:right w:val="nil"/>
            </w:tcBorders>
          </w:tcPr>
          <w:p w14:paraId="1D2BC135">
            <w:pPr>
              <w:spacing w:before="40" w:after="40"/>
              <w:jc w:val="center"/>
            </w:pPr>
            <w:r>
              <w:rPr>
                <w:rFonts w:ascii="Times New Roman" w:hAnsi="Times New Roman" w:eastAsia="宋体" w:cs="Times New Roman"/>
                <w:color w:val="000000"/>
                <w:sz w:val="22"/>
                <w:szCs w:val="22"/>
              </w:rPr>
              <w:t>三通一平、电力迁改、管</w:t>
            </w:r>
            <w:r>
              <w:rPr>
                <w:rFonts w:hint="eastAsia" w:cs="Times New Roman"/>
                <w:color w:val="000000"/>
                <w:sz w:val="22"/>
                <w:szCs w:val="22"/>
                <w:lang w:eastAsia="zh"/>
                <w:woUserID w:val="1"/>
              </w:rPr>
              <w:t>涵</w:t>
            </w:r>
            <w:bookmarkStart w:id="0" w:name="_GoBack"/>
            <w:bookmarkEnd w:id="0"/>
            <w:r>
              <w:rPr>
                <w:rFonts w:ascii="Times New Roman" w:hAnsi="Times New Roman" w:eastAsia="宋体" w:cs="Times New Roman"/>
                <w:color w:val="000000"/>
                <w:sz w:val="22"/>
                <w:szCs w:val="22"/>
              </w:rPr>
              <w:t>通道、箱变建设</w:t>
            </w:r>
          </w:p>
        </w:tc>
      </w:tr>
      <w:tr w14:paraId="3CE52C3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39A80E77">
            <w:pPr>
              <w:spacing w:before="40" w:after="40"/>
              <w:jc w:val="center"/>
            </w:pPr>
            <w:r>
              <w:rPr>
                <w:rFonts w:ascii="Times New Roman" w:hAnsi="Times New Roman" w:eastAsia="宋体" w:cs="Times New Roman"/>
                <w:color w:val="000000"/>
                <w:sz w:val="22"/>
                <w:szCs w:val="22"/>
              </w:rPr>
              <w:t>匹克球场地建设（18片，含看台）</w:t>
            </w:r>
          </w:p>
        </w:tc>
        <w:tc>
          <w:tcPr>
            <w:tcW w:w="2888" w:type="dxa"/>
            <w:tcBorders>
              <w:top w:val="nil"/>
              <w:left w:val="nil"/>
              <w:bottom w:val="single" w:color="000000" w:sz="2" w:space="0"/>
              <w:right w:val="nil"/>
            </w:tcBorders>
          </w:tcPr>
          <w:p w14:paraId="53EAF2B5">
            <w:pPr>
              <w:spacing w:before="40" w:after="40"/>
              <w:jc w:val="center"/>
            </w:pPr>
            <w:r>
              <w:rPr>
                <w:rFonts w:ascii="Times New Roman" w:hAnsi="Times New Roman" w:eastAsia="宋体" w:cs="Times New Roman"/>
                <w:color w:val="000000"/>
                <w:sz w:val="22"/>
                <w:szCs w:val="22"/>
              </w:rPr>
              <w:t>500</w:t>
            </w:r>
          </w:p>
        </w:tc>
        <w:tc>
          <w:tcPr>
            <w:tcW w:w="2890" w:type="dxa"/>
            <w:tcBorders>
              <w:top w:val="nil"/>
              <w:left w:val="nil"/>
              <w:bottom w:val="single" w:color="000000" w:sz="2" w:space="0"/>
              <w:right w:val="nil"/>
            </w:tcBorders>
          </w:tcPr>
          <w:p w14:paraId="17D930AD">
            <w:pPr>
              <w:spacing w:before="40" w:after="40"/>
              <w:jc w:val="center"/>
            </w:pPr>
            <w:r>
              <w:rPr>
                <w:rFonts w:ascii="Times New Roman" w:hAnsi="Times New Roman" w:eastAsia="宋体" w:cs="Times New Roman"/>
                <w:color w:val="000000"/>
                <w:sz w:val="22"/>
                <w:szCs w:val="22"/>
              </w:rPr>
              <w:t>非永久性装配式场地建设</w:t>
            </w:r>
          </w:p>
        </w:tc>
      </w:tr>
      <w:tr w14:paraId="43A82EA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795C883F">
            <w:pPr>
              <w:spacing w:before="40" w:after="40"/>
              <w:jc w:val="center"/>
            </w:pPr>
            <w:r>
              <w:rPr>
                <w:rFonts w:ascii="Times New Roman" w:hAnsi="Times New Roman" w:eastAsia="宋体" w:cs="Times New Roman"/>
                <w:color w:val="000000"/>
                <w:sz w:val="22"/>
                <w:szCs w:val="22"/>
              </w:rPr>
              <w:t>网球场地建设（2片）</w:t>
            </w:r>
          </w:p>
        </w:tc>
        <w:tc>
          <w:tcPr>
            <w:tcW w:w="2888" w:type="dxa"/>
            <w:tcBorders>
              <w:top w:val="nil"/>
              <w:left w:val="nil"/>
              <w:bottom w:val="single" w:color="000000" w:sz="2" w:space="0"/>
              <w:right w:val="nil"/>
            </w:tcBorders>
          </w:tcPr>
          <w:p w14:paraId="2EF56625">
            <w:pPr>
              <w:spacing w:before="40" w:after="40"/>
              <w:jc w:val="center"/>
            </w:pPr>
            <w:r>
              <w:rPr>
                <w:rFonts w:ascii="Times New Roman" w:hAnsi="Times New Roman" w:eastAsia="宋体" w:cs="Times New Roman"/>
                <w:color w:val="000000"/>
                <w:sz w:val="22"/>
                <w:szCs w:val="22"/>
              </w:rPr>
              <w:t>80</w:t>
            </w:r>
          </w:p>
        </w:tc>
        <w:tc>
          <w:tcPr>
            <w:tcW w:w="2890" w:type="dxa"/>
            <w:tcBorders>
              <w:top w:val="nil"/>
              <w:left w:val="nil"/>
              <w:bottom w:val="single" w:color="000000" w:sz="2" w:space="0"/>
              <w:right w:val="nil"/>
            </w:tcBorders>
          </w:tcPr>
          <w:p w14:paraId="5898D0FA">
            <w:pPr>
              <w:spacing w:before="40" w:after="40"/>
              <w:jc w:val="center"/>
            </w:pPr>
            <w:r>
              <w:rPr>
                <w:rFonts w:ascii="Times New Roman" w:hAnsi="Times New Roman" w:eastAsia="宋体" w:cs="Times New Roman"/>
                <w:color w:val="000000"/>
                <w:sz w:val="22"/>
                <w:szCs w:val="22"/>
              </w:rPr>
              <w:t>标准网球场地</w:t>
            </w:r>
          </w:p>
        </w:tc>
      </w:tr>
      <w:tr w14:paraId="19D0FFD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23ADB9E2">
            <w:pPr>
              <w:spacing w:before="40" w:after="40"/>
              <w:jc w:val="center"/>
            </w:pPr>
            <w:r>
              <w:rPr>
                <w:rFonts w:ascii="Times New Roman" w:hAnsi="Times New Roman" w:eastAsia="宋体" w:cs="Times New Roman"/>
                <w:color w:val="000000"/>
                <w:sz w:val="22"/>
                <w:szCs w:val="22"/>
              </w:rPr>
              <w:t>配套建设（智慧体系）</w:t>
            </w:r>
          </w:p>
        </w:tc>
        <w:tc>
          <w:tcPr>
            <w:tcW w:w="2888" w:type="dxa"/>
            <w:tcBorders>
              <w:top w:val="nil"/>
              <w:left w:val="nil"/>
              <w:bottom w:val="single" w:color="000000" w:sz="2" w:space="0"/>
              <w:right w:val="nil"/>
            </w:tcBorders>
          </w:tcPr>
          <w:p w14:paraId="668A61B5">
            <w:pPr>
              <w:spacing w:before="40" w:after="40"/>
              <w:jc w:val="center"/>
            </w:pPr>
            <w:r>
              <w:rPr>
                <w:rFonts w:ascii="Times New Roman" w:hAnsi="Times New Roman" w:eastAsia="宋体" w:cs="Times New Roman"/>
                <w:color w:val="000000"/>
                <w:sz w:val="22"/>
                <w:szCs w:val="22"/>
              </w:rPr>
              <w:t>150</w:t>
            </w:r>
          </w:p>
        </w:tc>
        <w:tc>
          <w:tcPr>
            <w:tcW w:w="2890" w:type="dxa"/>
            <w:tcBorders>
              <w:top w:val="nil"/>
              <w:left w:val="nil"/>
              <w:bottom w:val="single" w:color="000000" w:sz="2" w:space="0"/>
              <w:right w:val="nil"/>
            </w:tcBorders>
          </w:tcPr>
          <w:p w14:paraId="3F929DC5">
            <w:pPr>
              <w:spacing w:before="40" w:after="40"/>
              <w:jc w:val="center"/>
            </w:pPr>
            <w:r>
              <w:rPr>
                <w:rFonts w:ascii="Times New Roman" w:hAnsi="Times New Roman" w:eastAsia="宋体" w:cs="Times New Roman"/>
                <w:color w:val="000000"/>
                <w:sz w:val="22"/>
                <w:szCs w:val="22"/>
              </w:rPr>
              <w:t>智慧管理系统、服务设施等</w:t>
            </w:r>
          </w:p>
        </w:tc>
      </w:tr>
      <w:tr w14:paraId="4670775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6631A3EC">
            <w:pPr>
              <w:spacing w:before="40" w:after="40"/>
              <w:jc w:val="center"/>
            </w:pPr>
            <w:r>
              <w:rPr>
                <w:rFonts w:ascii="Times New Roman" w:hAnsi="Times New Roman" w:eastAsia="宋体" w:cs="Times New Roman"/>
                <w:color w:val="000000"/>
                <w:sz w:val="22"/>
                <w:szCs w:val="22"/>
              </w:rPr>
              <w:t>多功能停车场（含充电桩）</w:t>
            </w:r>
          </w:p>
        </w:tc>
        <w:tc>
          <w:tcPr>
            <w:tcW w:w="2888" w:type="dxa"/>
            <w:tcBorders>
              <w:top w:val="nil"/>
              <w:left w:val="nil"/>
              <w:bottom w:val="single" w:color="000000" w:sz="2" w:space="0"/>
              <w:right w:val="nil"/>
            </w:tcBorders>
          </w:tcPr>
          <w:p w14:paraId="0BB8B9B3">
            <w:pPr>
              <w:spacing w:before="40" w:after="40"/>
              <w:jc w:val="center"/>
            </w:pPr>
            <w:r>
              <w:rPr>
                <w:rFonts w:ascii="Times New Roman" w:hAnsi="Times New Roman" w:eastAsia="宋体" w:cs="Times New Roman"/>
                <w:color w:val="000000"/>
                <w:sz w:val="22"/>
                <w:szCs w:val="22"/>
              </w:rPr>
              <w:t>150</w:t>
            </w:r>
          </w:p>
        </w:tc>
        <w:tc>
          <w:tcPr>
            <w:tcW w:w="2890" w:type="dxa"/>
            <w:tcBorders>
              <w:top w:val="nil"/>
              <w:left w:val="nil"/>
              <w:bottom w:val="single" w:color="000000" w:sz="2" w:space="0"/>
              <w:right w:val="nil"/>
            </w:tcBorders>
          </w:tcPr>
          <w:p w14:paraId="291F8B71">
            <w:pPr>
              <w:spacing w:before="40" w:after="40"/>
              <w:jc w:val="center"/>
            </w:pPr>
            <w:r>
              <w:rPr>
                <w:rFonts w:ascii="Times New Roman" w:hAnsi="Times New Roman" w:eastAsia="宋体" w:cs="Times New Roman"/>
                <w:color w:val="000000"/>
                <w:sz w:val="22"/>
                <w:szCs w:val="22"/>
              </w:rPr>
              <w:t>含新能源充电桩设施</w:t>
            </w:r>
          </w:p>
        </w:tc>
      </w:tr>
      <w:tr w14:paraId="09065BA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0E2D9A45">
            <w:pPr>
              <w:spacing w:before="40" w:after="40"/>
              <w:jc w:val="center"/>
            </w:pPr>
            <w:r>
              <w:rPr>
                <w:rFonts w:ascii="Times New Roman" w:hAnsi="Times New Roman" w:eastAsia="宋体" w:cs="Times New Roman"/>
                <w:color w:val="000000"/>
                <w:sz w:val="22"/>
                <w:szCs w:val="22"/>
              </w:rPr>
              <w:t>景观绿化</w:t>
            </w:r>
          </w:p>
        </w:tc>
        <w:tc>
          <w:tcPr>
            <w:tcW w:w="2888" w:type="dxa"/>
            <w:tcBorders>
              <w:top w:val="nil"/>
              <w:left w:val="nil"/>
              <w:bottom w:val="single" w:color="000000" w:sz="2" w:space="0"/>
              <w:right w:val="nil"/>
            </w:tcBorders>
          </w:tcPr>
          <w:p w14:paraId="6914EEBB">
            <w:pPr>
              <w:spacing w:before="40" w:after="40"/>
              <w:jc w:val="center"/>
            </w:pPr>
            <w:r>
              <w:rPr>
                <w:rFonts w:ascii="Times New Roman" w:hAnsi="Times New Roman" w:eastAsia="宋体" w:cs="Times New Roman"/>
                <w:color w:val="000000"/>
                <w:sz w:val="22"/>
                <w:szCs w:val="22"/>
              </w:rPr>
              <w:t>50</w:t>
            </w:r>
          </w:p>
        </w:tc>
        <w:tc>
          <w:tcPr>
            <w:tcW w:w="2890" w:type="dxa"/>
            <w:tcBorders>
              <w:top w:val="nil"/>
              <w:left w:val="nil"/>
              <w:bottom w:val="single" w:color="000000" w:sz="2" w:space="0"/>
              <w:right w:val="nil"/>
            </w:tcBorders>
          </w:tcPr>
          <w:p w14:paraId="69D2E90F">
            <w:pPr>
              <w:spacing w:before="40" w:after="40"/>
              <w:jc w:val="center"/>
            </w:pPr>
            <w:r>
              <w:rPr>
                <w:rFonts w:ascii="Times New Roman" w:hAnsi="Times New Roman" w:eastAsia="宋体" w:cs="Times New Roman"/>
                <w:color w:val="000000"/>
                <w:sz w:val="22"/>
                <w:szCs w:val="22"/>
              </w:rPr>
              <w:t>生态景观打造</w:t>
            </w:r>
          </w:p>
        </w:tc>
      </w:tr>
      <w:tr w14:paraId="45DCFAA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349C99DF">
            <w:pPr>
              <w:spacing w:before="40" w:after="40"/>
              <w:jc w:val="center"/>
            </w:pPr>
            <w:r>
              <w:rPr>
                <w:rFonts w:ascii="Times New Roman" w:hAnsi="Times New Roman" w:eastAsia="宋体" w:cs="Times New Roman"/>
                <w:color w:val="000000"/>
                <w:sz w:val="22"/>
                <w:szCs w:val="22"/>
              </w:rPr>
              <w:t>开业营运准备金</w:t>
            </w:r>
          </w:p>
        </w:tc>
        <w:tc>
          <w:tcPr>
            <w:tcW w:w="2888" w:type="dxa"/>
            <w:tcBorders>
              <w:top w:val="nil"/>
              <w:left w:val="nil"/>
              <w:bottom w:val="single" w:color="000000" w:sz="2" w:space="0"/>
              <w:right w:val="nil"/>
            </w:tcBorders>
          </w:tcPr>
          <w:p w14:paraId="31F9BE36">
            <w:pPr>
              <w:spacing w:before="40" w:after="40"/>
              <w:jc w:val="center"/>
            </w:pPr>
            <w:r>
              <w:rPr>
                <w:rFonts w:ascii="Times New Roman" w:hAnsi="Times New Roman" w:eastAsia="宋体" w:cs="Times New Roman"/>
                <w:color w:val="000000"/>
                <w:sz w:val="22"/>
                <w:szCs w:val="22"/>
              </w:rPr>
              <w:t>50</w:t>
            </w:r>
          </w:p>
        </w:tc>
        <w:tc>
          <w:tcPr>
            <w:tcW w:w="2890" w:type="dxa"/>
            <w:tcBorders>
              <w:top w:val="nil"/>
              <w:left w:val="nil"/>
              <w:bottom w:val="single" w:color="000000" w:sz="2" w:space="0"/>
              <w:right w:val="nil"/>
            </w:tcBorders>
          </w:tcPr>
          <w:p w14:paraId="55E20770">
            <w:pPr>
              <w:spacing w:before="40" w:after="40"/>
              <w:jc w:val="center"/>
            </w:pPr>
            <w:r>
              <w:rPr>
                <w:rFonts w:ascii="Times New Roman" w:hAnsi="Times New Roman" w:eastAsia="宋体" w:cs="Times New Roman"/>
                <w:color w:val="000000"/>
                <w:sz w:val="22"/>
                <w:szCs w:val="22"/>
              </w:rPr>
              <w:t>流动资金储备</w:t>
            </w:r>
          </w:p>
        </w:tc>
      </w:tr>
      <w:tr w14:paraId="4DE83A3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8" w:space="0"/>
              <w:right w:val="nil"/>
            </w:tcBorders>
          </w:tcPr>
          <w:p w14:paraId="6C15DD3C">
            <w:pPr>
              <w:spacing w:before="40" w:after="40"/>
              <w:jc w:val="center"/>
            </w:pPr>
            <w:r>
              <w:rPr>
                <w:rFonts w:ascii="Times New Roman" w:hAnsi="Times New Roman" w:eastAsia="宋体" w:cs="Times New Roman"/>
                <w:b/>
                <w:bCs/>
                <w:color w:val="000000"/>
                <w:sz w:val="22"/>
                <w:szCs w:val="22"/>
              </w:rPr>
              <w:t>合计</w:t>
            </w:r>
          </w:p>
        </w:tc>
        <w:tc>
          <w:tcPr>
            <w:tcW w:w="2888" w:type="dxa"/>
            <w:tcBorders>
              <w:top w:val="nil"/>
              <w:left w:val="nil"/>
              <w:bottom w:val="single" w:color="000000" w:sz="8" w:space="0"/>
              <w:right w:val="nil"/>
            </w:tcBorders>
          </w:tcPr>
          <w:p w14:paraId="1DC9E07B">
            <w:pPr>
              <w:spacing w:before="40" w:after="40"/>
              <w:jc w:val="center"/>
            </w:pPr>
            <w:r>
              <w:rPr>
                <w:rFonts w:ascii="Times New Roman" w:hAnsi="Times New Roman" w:eastAsia="宋体" w:cs="Times New Roman"/>
                <w:b/>
                <w:bCs/>
                <w:color w:val="000000"/>
                <w:sz w:val="22"/>
                <w:szCs w:val="22"/>
              </w:rPr>
              <w:t>约1,100</w:t>
            </w:r>
          </w:p>
        </w:tc>
        <w:tc>
          <w:tcPr>
            <w:tcW w:w="2890" w:type="dxa"/>
            <w:tcBorders>
              <w:top w:val="nil"/>
              <w:left w:val="nil"/>
              <w:bottom w:val="single" w:color="000000" w:sz="8" w:space="0"/>
              <w:right w:val="nil"/>
            </w:tcBorders>
          </w:tcPr>
          <w:p w14:paraId="1499F8D5">
            <w:pPr>
              <w:spacing w:before="40" w:after="40"/>
              <w:jc w:val="center"/>
            </w:pPr>
            <w:r>
              <w:rPr>
                <w:rFonts w:ascii="Times New Roman" w:hAnsi="Times New Roman" w:eastAsia="宋体" w:cs="Times New Roman"/>
                <w:b/>
                <w:bCs/>
                <w:color w:val="000000"/>
                <w:sz w:val="22"/>
                <w:szCs w:val="22"/>
              </w:rPr>
              <w:t>—</w:t>
            </w:r>
          </w:p>
        </w:tc>
      </w:tr>
    </w:tbl>
    <w:p w14:paraId="5F82E736">
      <w:pPr>
        <w:keepNext/>
        <w:spacing w:before="160" w:after="80" w:line="360" w:lineRule="auto"/>
        <w:ind w:firstLine="480"/>
      </w:pPr>
      <w:r>
        <w:rPr>
          <w:rFonts w:ascii="Times New Roman" w:hAnsi="Times New Roman" w:eastAsia="黑体" w:cs="Times New Roman"/>
          <w:b/>
          <w:bCs/>
          <w:color w:val="000000"/>
          <w:sz w:val="24"/>
          <w:szCs w:val="24"/>
        </w:rPr>
        <w:t>（二）营收测算</w:t>
      </w:r>
    </w:p>
    <w:p w14:paraId="491EABE6">
      <w:pPr>
        <w:spacing w:before="60" w:after="60" w:line="360" w:lineRule="auto"/>
        <w:ind w:firstLine="480"/>
      </w:pPr>
      <w:r>
        <w:rPr>
          <w:rFonts w:ascii="Times New Roman" w:hAnsi="Times New Roman" w:eastAsia="仿宋" w:cs="Times New Roman"/>
          <w:color w:val="000000"/>
          <w:sz w:val="24"/>
          <w:szCs w:val="24"/>
        </w:rPr>
        <w:t>基于项目运营规划，营收测算如下：</w:t>
      </w:r>
    </w:p>
    <w:tbl>
      <w:tblPr>
        <w:tblStyle w:val="11"/>
        <w:tblW w:w="8666" w:type="dxa"/>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60" w:type="dxa"/>
          <w:left w:w="120" w:type="dxa"/>
          <w:bottom w:w="60" w:type="dxa"/>
          <w:right w:w="120" w:type="dxa"/>
        </w:tblCellMar>
      </w:tblPr>
      <w:tblGrid>
        <w:gridCol w:w="2888"/>
        <w:gridCol w:w="2888"/>
        <w:gridCol w:w="2890"/>
      </w:tblGrid>
      <w:tr w14:paraId="59139EC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blHeader/>
        </w:trPr>
        <w:tc>
          <w:tcPr>
            <w:tcW w:w="2888" w:type="dxa"/>
            <w:tcBorders>
              <w:top w:val="single" w:color="000000" w:sz="8" w:space="0"/>
              <w:left w:val="nil"/>
              <w:bottom w:val="single" w:color="000000" w:sz="6" w:space="0"/>
              <w:right w:val="nil"/>
            </w:tcBorders>
          </w:tcPr>
          <w:p w14:paraId="09719328">
            <w:pPr>
              <w:spacing w:before="40" w:after="40"/>
              <w:jc w:val="center"/>
            </w:pPr>
            <w:r>
              <w:rPr>
                <w:rFonts w:ascii="Times New Roman" w:hAnsi="Times New Roman" w:eastAsia="黑体" w:cs="Times New Roman"/>
                <w:b/>
                <w:bCs/>
                <w:color w:val="000000"/>
                <w:sz w:val="22"/>
                <w:szCs w:val="22"/>
              </w:rPr>
              <w:t>年份</w:t>
            </w:r>
          </w:p>
        </w:tc>
        <w:tc>
          <w:tcPr>
            <w:tcW w:w="2888" w:type="dxa"/>
            <w:tcBorders>
              <w:top w:val="single" w:color="000000" w:sz="8" w:space="0"/>
              <w:left w:val="nil"/>
              <w:bottom w:val="single" w:color="000000" w:sz="6" w:space="0"/>
              <w:right w:val="nil"/>
            </w:tcBorders>
          </w:tcPr>
          <w:p w14:paraId="1EDBDFF6">
            <w:pPr>
              <w:spacing w:before="40" w:after="40"/>
              <w:jc w:val="center"/>
            </w:pPr>
            <w:r>
              <w:rPr>
                <w:rFonts w:ascii="Times New Roman" w:hAnsi="Times New Roman" w:eastAsia="黑体" w:cs="Times New Roman"/>
                <w:b/>
                <w:bCs/>
                <w:color w:val="000000"/>
                <w:sz w:val="22"/>
                <w:szCs w:val="22"/>
              </w:rPr>
              <w:t>预计营收（万元）</w:t>
            </w:r>
          </w:p>
        </w:tc>
        <w:tc>
          <w:tcPr>
            <w:tcW w:w="2890" w:type="dxa"/>
            <w:tcBorders>
              <w:top w:val="single" w:color="000000" w:sz="8" w:space="0"/>
              <w:left w:val="nil"/>
              <w:bottom w:val="single" w:color="000000" w:sz="6" w:space="0"/>
              <w:right w:val="nil"/>
            </w:tcBorders>
          </w:tcPr>
          <w:p w14:paraId="497CCF32">
            <w:pPr>
              <w:spacing w:before="40" w:after="40"/>
              <w:jc w:val="center"/>
            </w:pPr>
            <w:r>
              <w:rPr>
                <w:rFonts w:ascii="Times New Roman" w:hAnsi="Times New Roman" w:eastAsia="黑体" w:cs="Times New Roman"/>
                <w:b/>
                <w:bCs/>
                <w:color w:val="000000"/>
                <w:sz w:val="22"/>
                <w:szCs w:val="22"/>
              </w:rPr>
              <w:t>说明</w:t>
            </w:r>
          </w:p>
        </w:tc>
      </w:tr>
      <w:tr w14:paraId="3152E3D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56317D27">
            <w:pPr>
              <w:spacing w:before="40" w:after="40"/>
              <w:jc w:val="center"/>
            </w:pPr>
            <w:r>
              <w:rPr>
                <w:rFonts w:ascii="Times New Roman" w:hAnsi="Times New Roman" w:eastAsia="宋体" w:cs="Times New Roman"/>
                <w:color w:val="000000"/>
                <w:sz w:val="22"/>
                <w:szCs w:val="22"/>
              </w:rPr>
              <w:t>第1年</w:t>
            </w:r>
          </w:p>
        </w:tc>
        <w:tc>
          <w:tcPr>
            <w:tcW w:w="2888" w:type="dxa"/>
            <w:tcBorders>
              <w:top w:val="nil"/>
              <w:left w:val="nil"/>
              <w:bottom w:val="single" w:color="000000" w:sz="2" w:space="0"/>
              <w:right w:val="nil"/>
            </w:tcBorders>
          </w:tcPr>
          <w:p w14:paraId="06491C4E">
            <w:pPr>
              <w:spacing w:before="40" w:after="40"/>
              <w:jc w:val="center"/>
            </w:pPr>
            <w:r>
              <w:rPr>
                <w:rFonts w:ascii="Times New Roman" w:hAnsi="Times New Roman" w:eastAsia="宋体" w:cs="Times New Roman"/>
                <w:color w:val="000000"/>
                <w:sz w:val="22"/>
                <w:szCs w:val="22"/>
              </w:rPr>
              <w:t>约100</w:t>
            </w:r>
          </w:p>
        </w:tc>
        <w:tc>
          <w:tcPr>
            <w:tcW w:w="2890" w:type="dxa"/>
            <w:tcBorders>
              <w:top w:val="nil"/>
              <w:left w:val="nil"/>
              <w:bottom w:val="single" w:color="000000" w:sz="2" w:space="0"/>
              <w:right w:val="nil"/>
            </w:tcBorders>
          </w:tcPr>
          <w:p w14:paraId="2528E802">
            <w:pPr>
              <w:spacing w:before="40" w:after="40"/>
              <w:jc w:val="center"/>
            </w:pPr>
            <w:r>
              <w:rPr>
                <w:rFonts w:ascii="Times New Roman" w:hAnsi="Times New Roman" w:eastAsia="宋体" w:cs="Times New Roman"/>
                <w:color w:val="000000"/>
                <w:sz w:val="22"/>
                <w:szCs w:val="22"/>
              </w:rPr>
              <w:t>项目开业，市场培育期</w:t>
            </w:r>
          </w:p>
        </w:tc>
      </w:tr>
      <w:tr w14:paraId="68ACBA8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1D6551C7">
            <w:pPr>
              <w:spacing w:before="40" w:after="40"/>
              <w:jc w:val="center"/>
            </w:pPr>
            <w:r>
              <w:rPr>
                <w:rFonts w:ascii="Times New Roman" w:hAnsi="Times New Roman" w:eastAsia="宋体" w:cs="Times New Roman"/>
                <w:color w:val="000000"/>
                <w:sz w:val="22"/>
                <w:szCs w:val="22"/>
              </w:rPr>
              <w:t>第2年</w:t>
            </w:r>
          </w:p>
        </w:tc>
        <w:tc>
          <w:tcPr>
            <w:tcW w:w="2888" w:type="dxa"/>
            <w:tcBorders>
              <w:top w:val="nil"/>
              <w:left w:val="nil"/>
              <w:bottom w:val="single" w:color="000000" w:sz="2" w:space="0"/>
              <w:right w:val="nil"/>
            </w:tcBorders>
          </w:tcPr>
          <w:p w14:paraId="17F2CF45">
            <w:pPr>
              <w:spacing w:before="40" w:after="40"/>
              <w:jc w:val="center"/>
            </w:pPr>
            <w:r>
              <w:rPr>
                <w:rFonts w:ascii="Times New Roman" w:hAnsi="Times New Roman" w:eastAsia="宋体" w:cs="Times New Roman"/>
                <w:color w:val="000000"/>
                <w:sz w:val="22"/>
                <w:szCs w:val="22"/>
              </w:rPr>
              <w:t>约120</w:t>
            </w:r>
          </w:p>
        </w:tc>
        <w:tc>
          <w:tcPr>
            <w:tcW w:w="2890" w:type="dxa"/>
            <w:tcBorders>
              <w:top w:val="nil"/>
              <w:left w:val="nil"/>
              <w:bottom w:val="single" w:color="000000" w:sz="2" w:space="0"/>
              <w:right w:val="nil"/>
            </w:tcBorders>
          </w:tcPr>
          <w:p w14:paraId="3D1E563D">
            <w:pPr>
              <w:spacing w:before="40" w:after="40"/>
              <w:jc w:val="center"/>
            </w:pPr>
            <w:r>
              <w:rPr>
                <w:rFonts w:ascii="Times New Roman" w:hAnsi="Times New Roman" w:eastAsia="宋体" w:cs="Times New Roman"/>
                <w:color w:val="000000"/>
                <w:sz w:val="22"/>
                <w:szCs w:val="22"/>
              </w:rPr>
              <w:t>品牌积累，客流增长</w:t>
            </w:r>
          </w:p>
        </w:tc>
      </w:tr>
      <w:tr w14:paraId="5294B7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rPr>
          <w:cantSplit/>
        </w:trPr>
        <w:tc>
          <w:tcPr>
            <w:tcW w:w="2888" w:type="dxa"/>
            <w:tcBorders>
              <w:top w:val="nil"/>
              <w:left w:val="nil"/>
              <w:bottom w:val="single" w:color="000000" w:sz="2" w:space="0"/>
              <w:right w:val="nil"/>
            </w:tcBorders>
          </w:tcPr>
          <w:p w14:paraId="20DAA7A3">
            <w:pPr>
              <w:spacing w:before="40" w:after="40"/>
              <w:jc w:val="center"/>
            </w:pPr>
            <w:r>
              <w:rPr>
                <w:rFonts w:ascii="Times New Roman" w:hAnsi="Times New Roman" w:eastAsia="宋体" w:cs="Times New Roman"/>
                <w:color w:val="000000"/>
                <w:sz w:val="22"/>
                <w:szCs w:val="22"/>
              </w:rPr>
              <w:t>第3年</w:t>
            </w:r>
          </w:p>
        </w:tc>
        <w:tc>
          <w:tcPr>
            <w:tcW w:w="2888" w:type="dxa"/>
            <w:tcBorders>
              <w:top w:val="nil"/>
              <w:left w:val="nil"/>
              <w:bottom w:val="single" w:color="000000" w:sz="2" w:space="0"/>
              <w:right w:val="nil"/>
            </w:tcBorders>
          </w:tcPr>
          <w:p w14:paraId="600E5FB7">
            <w:pPr>
              <w:spacing w:before="40" w:after="40"/>
              <w:jc w:val="center"/>
            </w:pPr>
            <w:r>
              <w:rPr>
                <w:rFonts w:ascii="Times New Roman" w:hAnsi="Times New Roman" w:eastAsia="宋体" w:cs="Times New Roman"/>
                <w:color w:val="000000"/>
                <w:sz w:val="22"/>
                <w:szCs w:val="22"/>
              </w:rPr>
              <w:t>约150</w:t>
            </w:r>
          </w:p>
        </w:tc>
        <w:tc>
          <w:tcPr>
            <w:tcW w:w="2890" w:type="dxa"/>
            <w:tcBorders>
              <w:top w:val="nil"/>
              <w:left w:val="nil"/>
              <w:bottom w:val="single" w:color="000000" w:sz="2" w:space="0"/>
              <w:right w:val="nil"/>
            </w:tcBorders>
          </w:tcPr>
          <w:p w14:paraId="3DD2B159">
            <w:pPr>
              <w:spacing w:before="40" w:after="40"/>
              <w:jc w:val="center"/>
            </w:pPr>
            <w:r>
              <w:rPr>
                <w:rFonts w:ascii="Times New Roman" w:hAnsi="Times New Roman" w:eastAsia="宋体" w:cs="Times New Roman"/>
                <w:color w:val="000000"/>
                <w:sz w:val="22"/>
                <w:szCs w:val="22"/>
              </w:rPr>
              <w:t>赛事体系成熟，培训规模扩大</w:t>
            </w:r>
          </w:p>
        </w:tc>
      </w:tr>
      <w:tr w14:paraId="4062B89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5C851AA9">
            <w:pPr>
              <w:spacing w:before="40" w:after="40"/>
              <w:jc w:val="center"/>
            </w:pPr>
            <w:r>
              <w:rPr>
                <w:rFonts w:ascii="Times New Roman" w:hAnsi="Times New Roman" w:eastAsia="宋体" w:cs="Times New Roman"/>
                <w:color w:val="000000"/>
                <w:sz w:val="22"/>
                <w:szCs w:val="22"/>
              </w:rPr>
              <w:t>第4年</w:t>
            </w:r>
          </w:p>
        </w:tc>
        <w:tc>
          <w:tcPr>
            <w:tcW w:w="2888" w:type="dxa"/>
            <w:tcBorders>
              <w:top w:val="nil"/>
              <w:left w:val="nil"/>
              <w:bottom w:val="single" w:color="000000" w:sz="2" w:space="0"/>
              <w:right w:val="nil"/>
            </w:tcBorders>
          </w:tcPr>
          <w:p w14:paraId="78FCF30B">
            <w:pPr>
              <w:spacing w:before="40" w:after="40"/>
              <w:jc w:val="center"/>
            </w:pPr>
            <w:r>
              <w:rPr>
                <w:rFonts w:ascii="Times New Roman" w:hAnsi="Times New Roman" w:eastAsia="宋体" w:cs="Times New Roman"/>
                <w:color w:val="000000"/>
                <w:sz w:val="22"/>
                <w:szCs w:val="22"/>
              </w:rPr>
              <w:t>约180</w:t>
            </w:r>
          </w:p>
        </w:tc>
        <w:tc>
          <w:tcPr>
            <w:tcW w:w="2890" w:type="dxa"/>
            <w:tcBorders>
              <w:top w:val="nil"/>
              <w:left w:val="nil"/>
              <w:bottom w:val="single" w:color="000000" w:sz="2" w:space="0"/>
              <w:right w:val="nil"/>
            </w:tcBorders>
          </w:tcPr>
          <w:p w14:paraId="44D0C5F0">
            <w:pPr>
              <w:spacing w:before="40" w:after="40"/>
              <w:jc w:val="center"/>
            </w:pPr>
            <w:r>
              <w:rPr>
                <w:rFonts w:ascii="Times New Roman" w:hAnsi="Times New Roman" w:eastAsia="宋体" w:cs="Times New Roman"/>
                <w:color w:val="000000"/>
                <w:sz w:val="22"/>
                <w:szCs w:val="22"/>
              </w:rPr>
              <w:t>复合消费提升</w:t>
            </w:r>
          </w:p>
        </w:tc>
      </w:tr>
      <w:tr w14:paraId="4273F68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8" w:space="0"/>
              <w:right w:val="nil"/>
            </w:tcBorders>
          </w:tcPr>
          <w:p w14:paraId="7D8BCF16">
            <w:pPr>
              <w:spacing w:before="40" w:after="40"/>
              <w:jc w:val="center"/>
            </w:pPr>
            <w:r>
              <w:rPr>
                <w:rFonts w:ascii="Times New Roman" w:hAnsi="Times New Roman" w:eastAsia="宋体" w:cs="Times New Roman"/>
                <w:color w:val="000000"/>
                <w:sz w:val="22"/>
                <w:szCs w:val="22"/>
              </w:rPr>
              <w:t>第5年</w:t>
            </w:r>
          </w:p>
        </w:tc>
        <w:tc>
          <w:tcPr>
            <w:tcW w:w="2888" w:type="dxa"/>
            <w:tcBorders>
              <w:top w:val="nil"/>
              <w:left w:val="nil"/>
              <w:bottom w:val="single" w:color="000000" w:sz="8" w:space="0"/>
              <w:right w:val="nil"/>
            </w:tcBorders>
          </w:tcPr>
          <w:p w14:paraId="7C253108">
            <w:pPr>
              <w:spacing w:before="40" w:after="40"/>
              <w:jc w:val="center"/>
            </w:pPr>
            <w:r>
              <w:rPr>
                <w:rFonts w:ascii="Times New Roman" w:hAnsi="Times New Roman" w:eastAsia="宋体" w:cs="Times New Roman"/>
                <w:color w:val="000000"/>
                <w:sz w:val="22"/>
                <w:szCs w:val="22"/>
              </w:rPr>
              <w:t>约200</w:t>
            </w:r>
          </w:p>
        </w:tc>
        <w:tc>
          <w:tcPr>
            <w:tcW w:w="2890" w:type="dxa"/>
            <w:tcBorders>
              <w:top w:val="nil"/>
              <w:left w:val="nil"/>
              <w:bottom w:val="single" w:color="000000" w:sz="8" w:space="0"/>
              <w:right w:val="nil"/>
            </w:tcBorders>
          </w:tcPr>
          <w:p w14:paraId="73D14D3C">
            <w:pPr>
              <w:spacing w:before="40" w:after="40"/>
              <w:jc w:val="center"/>
            </w:pPr>
            <w:r>
              <w:rPr>
                <w:rFonts w:ascii="Times New Roman" w:hAnsi="Times New Roman" w:eastAsia="宋体" w:cs="Times New Roman"/>
                <w:color w:val="000000"/>
                <w:sz w:val="22"/>
                <w:szCs w:val="22"/>
              </w:rPr>
              <w:t>运营进入成熟期</w:t>
            </w:r>
          </w:p>
        </w:tc>
      </w:tr>
    </w:tbl>
    <w:p w14:paraId="44DD0D0C">
      <w:pPr>
        <w:keepNext/>
        <w:spacing w:before="160" w:after="80" w:line="360" w:lineRule="auto"/>
        <w:ind w:firstLine="480"/>
      </w:pPr>
      <w:r>
        <w:rPr>
          <w:rFonts w:ascii="Times New Roman" w:hAnsi="Times New Roman" w:eastAsia="黑体" w:cs="Times New Roman"/>
          <w:b/>
          <w:bCs/>
          <w:color w:val="000000"/>
          <w:sz w:val="24"/>
          <w:szCs w:val="24"/>
        </w:rPr>
        <w:t>（三）合作期限</w:t>
      </w:r>
    </w:p>
    <w:p w14:paraId="5C72E19B">
      <w:pPr>
        <w:spacing w:before="60" w:after="60" w:line="360" w:lineRule="auto"/>
        <w:ind w:firstLine="480"/>
      </w:pPr>
      <w:r>
        <w:rPr>
          <w:rFonts w:ascii="Times New Roman" w:hAnsi="Times New Roman" w:eastAsia="仿宋" w:cs="Times New Roman"/>
          <w:b/>
          <w:bCs/>
          <w:color w:val="000000"/>
          <w:sz w:val="24"/>
          <w:szCs w:val="24"/>
        </w:rPr>
        <w:t>免租期：</w:t>
      </w:r>
      <w:r>
        <w:rPr>
          <w:rFonts w:ascii="Times New Roman" w:hAnsi="Times New Roman" w:eastAsia="仿宋" w:cs="Times New Roman"/>
          <w:color w:val="000000"/>
          <w:sz w:val="24"/>
          <w:szCs w:val="24"/>
        </w:rPr>
        <w:t>建议8年。上海森兰全额投资约1100万元，独立运营、自负盈亏。</w:t>
      </w:r>
    </w:p>
    <w:p w14:paraId="7416B685">
      <w:pPr>
        <w:spacing w:before="60" w:after="60" w:line="360" w:lineRule="auto"/>
        <w:ind w:firstLine="480"/>
      </w:pPr>
      <w:r>
        <w:rPr>
          <w:rFonts w:ascii="Times New Roman" w:hAnsi="Times New Roman" w:eastAsia="仿宋" w:cs="Times New Roman"/>
          <w:b/>
          <w:bCs/>
          <w:color w:val="000000"/>
          <w:sz w:val="24"/>
          <w:szCs w:val="24"/>
        </w:rPr>
        <w:t>协商期：</w:t>
      </w:r>
      <w:r>
        <w:rPr>
          <w:rFonts w:ascii="Times New Roman" w:hAnsi="Times New Roman" w:eastAsia="仿宋" w:cs="Times New Roman"/>
          <w:color w:val="000000"/>
          <w:sz w:val="24"/>
          <w:szCs w:val="24"/>
        </w:rPr>
        <w:t>后8年，双方协商保底分成模式。</w:t>
      </w:r>
    </w:p>
    <w:p w14:paraId="226B7048">
      <w:pPr>
        <w:keepNext/>
        <w:spacing w:before="200" w:after="100" w:line="360" w:lineRule="auto"/>
      </w:pPr>
      <w:r>
        <w:rPr>
          <w:rFonts w:ascii="Times New Roman" w:hAnsi="Times New Roman" w:eastAsia="黑体" w:cs="Times New Roman"/>
          <w:b/>
          <w:bCs/>
          <w:color w:val="000000"/>
          <w:sz w:val="28"/>
          <w:szCs w:val="28"/>
        </w:rPr>
        <w:t>七、总结</w:t>
      </w:r>
    </w:p>
    <w:p w14:paraId="04ACFBEE">
      <w:pPr>
        <w:spacing w:before="60" w:after="60" w:line="360" w:lineRule="auto"/>
        <w:ind w:firstLine="480"/>
      </w:pPr>
      <w:r>
        <w:rPr>
          <w:rFonts w:ascii="Times New Roman" w:hAnsi="Times New Roman" w:eastAsia="仿宋" w:cs="Times New Roman"/>
          <w:color w:val="000000"/>
          <w:sz w:val="24"/>
          <w:szCs w:val="24"/>
        </w:rPr>
        <w:t>南山森兰匹克球运动公园项目，是上海森兰匹界体育发展有限公司（以下简称“上海森兰”）基于在上海成功运营森兰匹克球公园的成熟经验，结合重庆南山独特的生态资源禀赋和文旅发展潜力，精心策划的文体旅融合标杆项目。经过深入论证，我们认为本项目实现了“四个契合”：</w:t>
      </w:r>
    </w:p>
    <w:p w14:paraId="3D79EDC8">
      <w:pPr>
        <w:spacing w:before="60" w:after="60" w:line="360" w:lineRule="auto"/>
        <w:ind w:firstLine="480"/>
      </w:pPr>
      <w:r>
        <w:rPr>
          <w:rFonts w:ascii="Times New Roman" w:hAnsi="Times New Roman" w:eastAsia="仿宋" w:cs="Times New Roman"/>
          <w:color w:val="000000"/>
          <w:sz w:val="24"/>
          <w:szCs w:val="24"/>
        </w:rPr>
        <w:t>契合生态保护要求——项目采用非永久性建设方式，低扰动、轻介入，在保护湿地生态的前提下实现合理利用，符合公园绿地的政策导向。</w:t>
      </w:r>
    </w:p>
    <w:p w14:paraId="217CF2EE">
      <w:pPr>
        <w:spacing w:before="60" w:after="60" w:line="360" w:lineRule="auto"/>
        <w:ind w:firstLine="480"/>
      </w:pPr>
      <w:r>
        <w:rPr>
          <w:rFonts w:ascii="Times New Roman" w:hAnsi="Times New Roman" w:eastAsia="仿宋" w:cs="Times New Roman"/>
          <w:color w:val="000000"/>
          <w:sz w:val="24"/>
          <w:szCs w:val="24"/>
        </w:rPr>
        <w:t>契合全民健身政策——项目以匹克球这一新兴全民运动为核心，通过公益开放、培训普及、赛事引领等多层次服务，积极响应全民健身国家战略。</w:t>
      </w:r>
    </w:p>
    <w:p w14:paraId="4AB11125">
      <w:pPr>
        <w:spacing w:before="60" w:after="60" w:line="360" w:lineRule="auto"/>
        <w:ind w:firstLine="480"/>
      </w:pPr>
      <w:r>
        <w:rPr>
          <w:rFonts w:ascii="Times New Roman" w:hAnsi="Times New Roman" w:eastAsia="仿宋" w:cs="Times New Roman"/>
          <w:color w:val="000000"/>
          <w:sz w:val="24"/>
          <w:szCs w:val="24"/>
        </w:rPr>
        <w:t>契合南山文旅升级方向——项目将运动、文旅、康养深度融合，为南山注入新业态、新场景、新客流，助力南山从传统观光景区向文体旅融合目的地转型。</w:t>
      </w:r>
    </w:p>
    <w:p w14:paraId="7B904F30">
      <w:pPr>
        <w:spacing w:before="60" w:after="60" w:line="360" w:lineRule="auto"/>
        <w:ind w:firstLine="480"/>
      </w:pPr>
      <w:r>
        <w:rPr>
          <w:rFonts w:ascii="Times New Roman" w:hAnsi="Times New Roman" w:eastAsia="仿宋" w:cs="Times New Roman"/>
          <w:color w:val="000000"/>
          <w:sz w:val="24"/>
          <w:szCs w:val="24"/>
        </w:rPr>
        <w:t>契合群众高品质运动需求——项目提供专业化、全天候、生态化的运动场地和服务，满足群众对高品质运动生活的追求，填补南山高标准群众体育场地的空白。</w:t>
      </w:r>
    </w:p>
    <w:p w14:paraId="49B5E9E8">
      <w:pPr>
        <w:spacing w:before="60" w:after="60" w:line="360" w:lineRule="auto"/>
        <w:ind w:firstLine="480"/>
      </w:pPr>
      <w:r>
        <w:rPr>
          <w:rFonts w:ascii="Times New Roman" w:hAnsi="Times New Roman" w:eastAsia="仿宋" w:cs="Times New Roman"/>
          <w:color w:val="000000"/>
          <w:sz w:val="24"/>
          <w:szCs w:val="24"/>
        </w:rPr>
        <w:t>上海森兰凭借在上海运营森兰匹克球公园积累的建设经验、赛事能力、运营体系和行业影响力，有充分的实力和信心将南山项目打造成西南地区标杆性的匹克球运动公园。从12片IFP标准球场到CPC600国家级赛事，从分时段运营到“票根经济”商业联动，从球友社群培育到教练裁判人才培养——上海森兰已经走通了从场地到生态的完整闭环。南山项目不是简单的模式复制，而是在上海经验基础上的全面升级：更大的场地规模、更优的生态环境、更强的全天候能力、更广的文旅融合空间。</w:t>
      </w:r>
    </w:p>
    <w:p w14:paraId="668A50B3">
      <w:pPr>
        <w:spacing w:before="60" w:after="60" w:line="360" w:lineRule="auto"/>
        <w:ind w:firstLine="480"/>
      </w:pPr>
      <w:r>
        <w:rPr>
          <w:rFonts w:ascii="Times New Roman" w:hAnsi="Times New Roman" w:eastAsia="仿宋" w:cs="Times New Roman"/>
          <w:color w:val="000000"/>
          <w:sz w:val="24"/>
          <w:szCs w:val="24"/>
        </w:rPr>
        <w:t>我们诚挚期待与南山管理委员会携手合作，以16年合作周期为基础，共同打造南山文体旅融合新名片，为重庆市民带来全新的运动生活方式，为全国山地城市生态体育公园建设提供可复制的示范样本。</w:t>
      </w:r>
    </w:p>
    <w:sectPr>
      <w:headerReference r:id="rId5" w:type="default"/>
      <w:footerReference r:id="rId6" w:type="default"/>
      <w:pgSz w:w="11906" w:h="16838"/>
      <w:pgMar w:top="1440" w:right="1440" w:bottom="1440" w:left="1800" w:header="708" w:footer="708"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黑体">
    <w:altName w:val="汉仪中黑KW"/>
    <w:panose1 w:val="00000000000000000000"/>
    <w:charset w:val="00"/>
    <w:family w:val="auto"/>
    <w:pitch w:val="default"/>
    <w:sig w:usb0="00000000" w:usb1="00000000" w:usb2="00000000" w:usb3="00000000" w:csb0="00000000" w:csb1="00000000"/>
  </w:font>
  <w:font w:name="仿宋">
    <w:altName w:val="Times New Roman"/>
    <w:panose1 w:val="00000000000000000000"/>
    <w:charset w:val="00"/>
    <w:family w:val="auto"/>
    <w:pitch w:val="default"/>
    <w:sig w:usb0="00000000" w:usb1="00000000" w:usb2="00000000" w:usb3="00000000" w:csb0="00000000" w:csb1="00000000"/>
  </w:font>
  <w:font w:name="方正仿宋_GBK">
    <w:altName w:val="Times New Roman"/>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4A8FE">
    <w:pPr>
      <w:jc w:val="center"/>
    </w:pPr>
    <w:r>
      <w:rPr>
        <w:rFonts w:ascii="Times New Roman" w:hAnsi="Times New Roman" w:eastAsia="宋体" w:cs="Times New Roman"/>
        <w:color w:val="888888"/>
        <w:sz w:val="18"/>
        <w:szCs w:val="18"/>
      </w:rPr>
      <w:t xml:space="preserve">第 </w:t>
    </w:r>
    <w:r>
      <w:rPr>
        <w:rFonts w:ascii="Times New Roman" w:hAnsi="Times New Roman" w:eastAsia="宋体" w:cs="Times New Roman"/>
        <w:color w:val="888888"/>
        <w:sz w:val="18"/>
        <w:szCs w:val="18"/>
      </w:rPr>
      <w:fldChar w:fldCharType="begin"/>
    </w:r>
    <w:r>
      <w:rPr>
        <w:rFonts w:ascii="Times New Roman" w:hAnsi="Times New Roman" w:eastAsia="宋体" w:cs="Times New Roman"/>
        <w:color w:val="888888"/>
        <w:sz w:val="18"/>
        <w:szCs w:val="18"/>
      </w:rPr>
      <w:instrText xml:space="preserve">PAGE</w:instrText>
    </w:r>
    <w:r>
      <w:rPr>
        <w:rFonts w:ascii="Times New Roman" w:hAnsi="Times New Roman" w:eastAsia="宋体" w:cs="Times New Roman"/>
        <w:color w:val="888888"/>
        <w:sz w:val="18"/>
        <w:szCs w:val="18"/>
      </w:rPr>
      <w:fldChar w:fldCharType="separate"/>
    </w:r>
    <w:r>
      <w:rPr>
        <w:rFonts w:ascii="Times New Roman" w:hAnsi="Times New Roman" w:eastAsia="宋体" w:cs="Times New Roman"/>
        <w:color w:val="888888"/>
        <w:sz w:val="18"/>
        <w:szCs w:val="18"/>
      </w:rPr>
      <w:fldChar w:fldCharType="end"/>
    </w:r>
    <w:r>
      <w:rPr>
        <w:rFonts w:ascii="Times New Roman" w:hAnsi="Times New Roman" w:eastAsia="宋体" w:cs="Times New Roman"/>
        <w:color w:val="888888"/>
        <w:sz w:val="18"/>
        <w:szCs w:val="18"/>
      </w:rPr>
      <w:t xml:space="preserve"> 页，共 </w:t>
    </w:r>
    <w:r>
      <w:rPr>
        <w:rFonts w:ascii="Times New Roman" w:hAnsi="Times New Roman" w:eastAsia="宋体" w:cs="Times New Roman"/>
        <w:color w:val="888888"/>
        <w:sz w:val="18"/>
        <w:szCs w:val="18"/>
      </w:rPr>
      <w:fldChar w:fldCharType="begin"/>
    </w:r>
    <w:r>
      <w:rPr>
        <w:rFonts w:ascii="Times New Roman" w:hAnsi="Times New Roman" w:eastAsia="宋体" w:cs="Times New Roman"/>
        <w:color w:val="888888"/>
        <w:sz w:val="18"/>
        <w:szCs w:val="18"/>
      </w:rPr>
      <w:instrText xml:space="preserve">NUMPAGES</w:instrText>
    </w:r>
    <w:r>
      <w:rPr>
        <w:rFonts w:ascii="Times New Roman" w:hAnsi="Times New Roman" w:eastAsia="宋体" w:cs="Times New Roman"/>
        <w:color w:val="888888"/>
        <w:sz w:val="18"/>
        <w:szCs w:val="18"/>
      </w:rPr>
      <w:fldChar w:fldCharType="separate"/>
    </w:r>
    <w:r>
      <w:rPr>
        <w:rFonts w:ascii="Times New Roman" w:hAnsi="Times New Roman" w:eastAsia="宋体" w:cs="Times New Roman"/>
        <w:color w:val="888888"/>
        <w:sz w:val="18"/>
        <w:szCs w:val="18"/>
      </w:rPr>
      <w:fldChar w:fldCharType="end"/>
    </w:r>
    <w:r>
      <w:rPr>
        <w:rFonts w:ascii="Times New Roman" w:hAnsi="Times New Roman" w:eastAsia="宋体" w:cs="Times New Roman"/>
        <w:color w:val="888888"/>
        <w:sz w:val="18"/>
        <w:szCs w:val="18"/>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333BF">
    <w:pPr>
      <w:jc w:val="center"/>
    </w:pPr>
    <w:r>
      <w:rPr>
        <w:rFonts w:ascii="Times New Roman" w:hAnsi="Times New Roman" w:eastAsia="宋体" w:cs="Times New Roman"/>
        <w:color w:val="888888"/>
        <w:sz w:val="18"/>
        <w:szCs w:val="18"/>
      </w:rPr>
      <w:t xml:space="preserve">第 </w:t>
    </w:r>
    <w:r>
      <w:rPr>
        <w:rFonts w:ascii="Times New Roman" w:hAnsi="Times New Roman" w:eastAsia="宋体" w:cs="Times New Roman"/>
        <w:color w:val="888888"/>
        <w:sz w:val="18"/>
        <w:szCs w:val="18"/>
      </w:rPr>
      <w:fldChar w:fldCharType="begin"/>
    </w:r>
    <w:r>
      <w:rPr>
        <w:rFonts w:ascii="Times New Roman" w:hAnsi="Times New Roman" w:eastAsia="宋体" w:cs="Times New Roman"/>
        <w:color w:val="888888"/>
        <w:sz w:val="18"/>
        <w:szCs w:val="18"/>
      </w:rPr>
      <w:instrText xml:space="preserve">PAGE</w:instrText>
    </w:r>
    <w:r>
      <w:rPr>
        <w:rFonts w:ascii="Times New Roman" w:hAnsi="Times New Roman" w:eastAsia="宋体" w:cs="Times New Roman"/>
        <w:color w:val="888888"/>
        <w:sz w:val="18"/>
        <w:szCs w:val="18"/>
      </w:rPr>
      <w:fldChar w:fldCharType="separate"/>
    </w:r>
    <w:r>
      <w:rPr>
        <w:rFonts w:ascii="Times New Roman" w:hAnsi="Times New Roman" w:eastAsia="宋体" w:cs="Times New Roman"/>
        <w:color w:val="888888"/>
        <w:sz w:val="18"/>
        <w:szCs w:val="18"/>
      </w:rPr>
      <w:fldChar w:fldCharType="end"/>
    </w:r>
    <w:r>
      <w:rPr>
        <w:rFonts w:ascii="Times New Roman" w:hAnsi="Times New Roman" w:eastAsia="宋体" w:cs="Times New Roman"/>
        <w:color w:val="888888"/>
        <w:sz w:val="18"/>
        <w:szCs w:val="18"/>
      </w:rPr>
      <w:t xml:space="preserve"> 页，共 </w:t>
    </w:r>
    <w:r>
      <w:rPr>
        <w:rFonts w:ascii="Times New Roman" w:hAnsi="Times New Roman" w:eastAsia="宋体" w:cs="Times New Roman"/>
        <w:color w:val="888888"/>
        <w:sz w:val="18"/>
        <w:szCs w:val="18"/>
      </w:rPr>
      <w:fldChar w:fldCharType="begin"/>
    </w:r>
    <w:r>
      <w:rPr>
        <w:rFonts w:ascii="Times New Roman" w:hAnsi="Times New Roman" w:eastAsia="宋体" w:cs="Times New Roman"/>
        <w:color w:val="888888"/>
        <w:sz w:val="18"/>
        <w:szCs w:val="18"/>
      </w:rPr>
      <w:instrText xml:space="preserve">NUMPAGES</w:instrText>
    </w:r>
    <w:r>
      <w:rPr>
        <w:rFonts w:ascii="Times New Roman" w:hAnsi="Times New Roman" w:eastAsia="宋体" w:cs="Times New Roman"/>
        <w:color w:val="888888"/>
        <w:sz w:val="18"/>
        <w:szCs w:val="18"/>
      </w:rPr>
      <w:fldChar w:fldCharType="separate"/>
    </w:r>
    <w:r>
      <w:rPr>
        <w:rFonts w:ascii="Times New Roman" w:hAnsi="Times New Roman" w:eastAsia="宋体" w:cs="Times New Roman"/>
        <w:color w:val="888888"/>
        <w:sz w:val="18"/>
        <w:szCs w:val="18"/>
      </w:rPr>
      <w:fldChar w:fldCharType="end"/>
    </w:r>
    <w:r>
      <w:rPr>
        <w:rFonts w:ascii="Times New Roman" w:hAnsi="Times New Roman" w:eastAsia="宋体" w:cs="Times New Roman"/>
        <w:color w:val="888888"/>
        <w:sz w:val="18"/>
        <w:szCs w:val="18"/>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E1930">
    <w:pPr>
      <w:jc w:val="center"/>
    </w:pPr>
    <w:r>
      <w:rPr>
        <w:rFonts w:ascii="Times New Roman" w:hAnsi="Times New Roman" w:eastAsia="宋体" w:cs="Times New Roman"/>
        <w:color w:val="888888"/>
        <w:sz w:val="18"/>
        <w:szCs w:val="18"/>
      </w:rPr>
      <w:t>南山森兰匹克球运动公园 策划提案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8660C">
    <w:pPr>
      <w:jc w:val="center"/>
    </w:pPr>
    <w:r>
      <w:rPr>
        <w:rFonts w:ascii="Times New Roman" w:hAnsi="Times New Roman" w:eastAsia="宋体" w:cs="Times New Roman"/>
        <w:color w:val="888888"/>
        <w:sz w:val="18"/>
        <w:szCs w:val="18"/>
      </w:rPr>
      <w:t>南山森兰匹克球运动公园 策划提案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useFELayout/>
    <w:compatSetting w:name="compatibilityMode" w:uri="http://schemas.microsoft.com/office/word" w:val="15"/>
  </w:compat>
  <w:rsids>
    <w:rsidRoot w:val="A206C0AB"/>
    <w:rsid w:val="A206C0AB"/>
    <w:rsid w:val="E7E1E27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4"/>
      <w:szCs w:val="24"/>
    </w:rPr>
  </w:style>
  <w:style w:type="paragraph" w:styleId="2">
    <w:name w:val="heading 1"/>
    <w:next w:val="1"/>
    <w:qFormat/>
    <w:uiPriority w:val="0"/>
    <w:rPr>
      <w:rFonts w:ascii="Times New Roman" w:hAnsi="Times New Roman" w:eastAsia="宋体" w:cs="Times New Roman"/>
      <w:color w:val="2E74B5"/>
      <w:sz w:val="32"/>
      <w:szCs w:val="32"/>
    </w:rPr>
  </w:style>
  <w:style w:type="paragraph" w:styleId="3">
    <w:name w:val="heading 2"/>
    <w:next w:val="1"/>
    <w:qFormat/>
    <w:uiPriority w:val="0"/>
    <w:rPr>
      <w:rFonts w:ascii="Times New Roman" w:hAnsi="Times New Roman" w:eastAsia="宋体" w:cs="Times New Roman"/>
      <w:color w:val="2E74B5"/>
      <w:sz w:val="26"/>
      <w:szCs w:val="26"/>
    </w:rPr>
  </w:style>
  <w:style w:type="paragraph" w:styleId="4">
    <w:name w:val="heading 3"/>
    <w:next w:val="1"/>
    <w:qFormat/>
    <w:uiPriority w:val="0"/>
    <w:rPr>
      <w:rFonts w:ascii="Times New Roman" w:hAnsi="Times New Roman" w:eastAsia="宋体" w:cs="Times New Roman"/>
      <w:color w:val="1F4D78"/>
      <w:sz w:val="24"/>
      <w:szCs w:val="24"/>
    </w:rPr>
  </w:style>
  <w:style w:type="paragraph" w:styleId="5">
    <w:name w:val="heading 4"/>
    <w:next w:val="1"/>
    <w:qFormat/>
    <w:uiPriority w:val="0"/>
    <w:rPr>
      <w:rFonts w:ascii="Times New Roman" w:hAnsi="Times New Roman" w:eastAsia="宋体" w:cs="Times New Roman"/>
      <w:i/>
      <w:iCs/>
      <w:color w:val="2E74B5"/>
      <w:sz w:val="24"/>
      <w:szCs w:val="24"/>
    </w:rPr>
  </w:style>
  <w:style w:type="paragraph" w:styleId="6">
    <w:name w:val="heading 5"/>
    <w:next w:val="1"/>
    <w:qFormat/>
    <w:uiPriority w:val="0"/>
    <w:rPr>
      <w:rFonts w:ascii="Times New Roman" w:hAnsi="Times New Roman" w:eastAsia="宋体" w:cs="Times New Roman"/>
      <w:color w:val="2E74B5"/>
      <w:sz w:val="24"/>
      <w:szCs w:val="24"/>
    </w:rPr>
  </w:style>
  <w:style w:type="paragraph" w:styleId="7">
    <w:name w:val="heading 6"/>
    <w:next w:val="1"/>
    <w:qFormat/>
    <w:uiPriority w:val="0"/>
    <w:rPr>
      <w:rFonts w:ascii="Times New Roman" w:hAnsi="Times New Roman" w:eastAsia="宋体" w:cs="Times New Roman"/>
      <w:color w:val="1F4D78"/>
      <w:sz w:val="24"/>
      <w:szCs w:val="24"/>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uiPriority w:val="99"/>
    <w:pPr>
      <w:spacing w:after="0" w:line="240" w:lineRule="auto"/>
    </w:pPr>
    <w:rPr>
      <w:rFonts w:ascii="Times New Roman" w:hAnsi="Times New Roman" w:eastAsia="宋体" w:cs="Times New Roman"/>
      <w:color w:val="000000"/>
      <w:sz w:val="20"/>
      <w:szCs w:val="20"/>
    </w:rPr>
  </w:style>
  <w:style w:type="paragraph" w:styleId="9">
    <w:name w:val="footnote text"/>
    <w:link w:val="17"/>
    <w:semiHidden/>
    <w:unhideWhenUsed/>
    <w:uiPriority w:val="99"/>
    <w:pPr>
      <w:spacing w:after="0" w:line="240" w:lineRule="auto"/>
    </w:pPr>
    <w:rPr>
      <w:rFonts w:ascii="Times New Roman" w:hAnsi="Times New Roman" w:eastAsia="宋体" w:cs="Times New Roman"/>
      <w:color w:val="000000"/>
      <w:sz w:val="20"/>
      <w:szCs w:val="20"/>
    </w:rPr>
  </w:style>
  <w:style w:type="paragraph" w:styleId="10">
    <w:name w:val="Title"/>
    <w:qFormat/>
    <w:uiPriority w:val="0"/>
    <w:rPr>
      <w:rFonts w:ascii="Times New Roman" w:hAnsi="Times New Roman" w:eastAsia="宋体" w:cs="Times New Roman"/>
      <w:color w:val="000000"/>
      <w:sz w:val="56"/>
      <w:szCs w:val="56"/>
    </w:rPr>
  </w:style>
  <w:style w:type="character" w:styleId="13">
    <w:name w:val="endnote reference"/>
    <w:semiHidden/>
    <w:unhideWhenUsed/>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uiPriority w:val="99"/>
    <w:rPr>
      <w:vertAlign w:val="superscript"/>
    </w:rPr>
  </w:style>
  <w:style w:type="paragraph" w:styleId="16">
    <w:name w:val="List Paragraph"/>
    <w:qFormat/>
    <w:uiPriority w:val="0"/>
    <w:rPr>
      <w:rFonts w:ascii="Times New Roman" w:hAnsi="Times New Roman" w:eastAsia="宋体" w:cs="Times New Roman"/>
      <w:color w:val="000000"/>
      <w:sz w:val="24"/>
      <w:szCs w:val="24"/>
    </w:rPr>
  </w:style>
  <w:style w:type="character" w:customStyle="1" w:styleId="17">
    <w:name w:val="Footnote Text Char"/>
    <w:link w:val="9"/>
    <w:semiHidden/>
    <w:unhideWhenUsed/>
    <w:uiPriority w:val="99"/>
    <w:rPr>
      <w:sz w:val="20"/>
      <w:szCs w:val="20"/>
    </w:rPr>
  </w:style>
  <w:style w:type="character" w:customStyle="1" w:styleId="18">
    <w:name w:val="End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TotalTime>0</TotalTime>
  <ScaleCrop>false</ScaleCrop>
  <LinksUpToDate>false</LinksUpToDate>
  <Application>WPS Office WWO_wpscloud_20260916174450-7bfc4fa662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dcterms:modified xsi:type="dcterms:W3CDTF">2026-09-29T10:03:27Z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2052-12.9.0.29121</vt:lpwstr>
  </property>
  <property fmtid="{D5CDD505-2E9C-101B-9397-08002B2CF9AE}" pid="3" name="ICV">
    <vt:lpwstr>5997EE3E036E303D6F1CBB6A7751FDB2_43</vt:lpwstr>
  </property>
</Properties>
</file>