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DE11A">
      <w:pPr>
        <w:spacing w:before="2400"/>
      </w:pPr>
    </w:p>
    <w:p w14:paraId="09C79FED">
      <w:pPr>
        <w:spacing w:after="100"/>
        <w:jc w:val="center"/>
      </w:pPr>
      <w:r>
        <w:rPr>
          <w:rFonts w:ascii="Times New Roman" w:hAnsi="Times New Roman" w:eastAsia="宋体" w:cs="Times New Roman"/>
          <w:color w:val="1B4F72"/>
          <w:sz w:val="28"/>
          <w:szCs w:val="28"/>
        </w:rPr>
        <w:t>━━━━━━━━━━━━━━━━━━━━━━━━━</w:t>
      </w:r>
    </w:p>
    <w:p w14:paraId="6A7273DF">
      <w:pPr>
        <w:spacing w:before="200" w:after="100"/>
        <w:jc w:val="center"/>
      </w:pPr>
      <w:r>
        <w:rPr>
          <w:rFonts w:ascii="Times New Roman" w:hAnsi="Times New Roman" w:eastAsia="黑体" w:cs="Times New Roman"/>
          <w:b/>
          <w:bCs/>
          <w:color w:val="1B4F72"/>
          <w:sz w:val="52"/>
          <w:szCs w:val="52"/>
        </w:rPr>
        <w:t>南山森兰匹克球运动公园</w:t>
      </w:r>
    </w:p>
    <w:p w14:paraId="5954F277">
      <w:pPr>
        <w:spacing w:before="100" w:after="200"/>
        <w:jc w:val="center"/>
      </w:pPr>
      <w:r>
        <w:rPr>
          <w:rFonts w:ascii="Times New Roman" w:hAnsi="Times New Roman" w:eastAsia="黑体" w:cs="Times New Roman"/>
          <w:b/>
          <w:bCs/>
          <w:color w:val="1B4F72"/>
          <w:sz w:val="44"/>
          <w:szCs w:val="44"/>
        </w:rPr>
        <w:t>策划提案</w:t>
      </w:r>
    </w:p>
    <w:p w14:paraId="556CE3C3">
      <w:pPr>
        <w:spacing w:after="100"/>
        <w:jc w:val="center"/>
      </w:pPr>
      <w:r>
        <w:rPr>
          <w:rFonts w:ascii="Times New Roman" w:hAnsi="Times New Roman" w:eastAsia="宋体" w:cs="Times New Roman"/>
          <w:color w:val="1B4F72"/>
          <w:sz w:val="28"/>
          <w:szCs w:val="28"/>
        </w:rPr>
        <w:t>━━━━━━━━━━━━━━━━━━━━━━━━━</w:t>
      </w:r>
    </w:p>
    <w:p w14:paraId="44C675AC">
      <w:pPr>
        <w:spacing w:before="300" w:after="80"/>
        <w:jc w:val="center"/>
      </w:pPr>
      <w:r>
        <w:rPr>
          <w:rFonts w:ascii="Times New Roman" w:hAnsi="Times New Roman" w:eastAsia="楷体" w:cs="Times New Roman"/>
          <w:color w:val="2C3E50"/>
          <w:sz w:val="32"/>
          <w:szCs w:val="32"/>
        </w:rPr>
        <w:t>暨项目合作方案书</w:t>
      </w:r>
    </w:p>
    <w:p w14:paraId="6AF4FF2F">
      <w:pPr>
        <w:spacing w:before="1200"/>
      </w:pPr>
    </w:p>
    <w:p w14:paraId="7239A523">
      <w:pPr>
        <w:spacing w:after="120"/>
        <w:jc w:val="center"/>
      </w:pPr>
      <w:r>
        <w:rPr>
          <w:rFonts w:ascii="Times New Roman" w:hAnsi="Times New Roman" w:eastAsia="宋体" w:cs="Times New Roman"/>
          <w:color w:val="2C3E50"/>
          <w:sz w:val="28"/>
          <w:szCs w:val="28"/>
        </w:rPr>
        <w:t>提案方：上海森兰公司</w:t>
      </w:r>
    </w:p>
    <w:p w14:paraId="3A44A4B1">
      <w:pPr>
        <w:spacing w:after="120"/>
        <w:jc w:val="center"/>
      </w:pPr>
      <w:r>
        <w:rPr>
          <w:rFonts w:ascii="Times New Roman" w:hAnsi="Times New Roman" w:eastAsia="宋体" w:cs="Times New Roman"/>
          <w:color w:val="2C3E50"/>
          <w:sz w:val="28"/>
          <w:szCs w:val="28"/>
        </w:rPr>
        <w:t>提案对象：南山管理委员会</w:t>
      </w:r>
    </w:p>
    <w:p w14:paraId="5CE7F6BC">
      <w:pPr>
        <w:spacing w:after="120"/>
        <w:jc w:val="center"/>
      </w:pPr>
      <w:r>
        <w:rPr>
          <w:rFonts w:ascii="Times New Roman" w:hAnsi="Times New Roman" w:eastAsia="宋体" w:cs="Times New Roman"/>
          <w:color w:val="2C3E50"/>
          <w:sz w:val="28"/>
          <w:szCs w:val="28"/>
        </w:rPr>
        <w:t>二〇二六年九月</w:t>
      </w:r>
    </w:p>
    <w:p w14:paraId="24AB02AF">
      <w:pPr>
        <w:spacing w:before="800"/>
      </w:pPr>
    </w:p>
    <w:p w14:paraId="7F9B26C3">
      <w:pPr>
        <w:jc w:val="center"/>
      </w:pPr>
      <w:r>
        <w:rPr>
          <w:rFonts w:ascii="Times New Roman" w:hAnsi="Times New Roman" w:eastAsia="黑体" w:cs="Times New Roman"/>
          <w:b/>
          <w:bCs/>
          <w:color w:val="C0392B"/>
          <w:sz w:val="24"/>
          <w:szCs w:val="24"/>
        </w:rPr>
        <w:t>【机密】</w:t>
      </w:r>
    </w:p>
    <w:p w14:paraId="062C06C4">
      <w:pPr>
        <w:sectPr>
          <w:pgSz w:w="11906" w:h="16838"/>
          <w:pgMar w:top="1440" w:right="1440" w:bottom="1440" w:left="1440" w:header="708" w:footer="708" w:gutter="0"/>
          <w:cols w:space="720" w:num="1"/>
          <w:docGrid w:linePitch="360" w:charSpace="0"/>
        </w:sectPr>
      </w:pPr>
    </w:p>
    <w:p w14:paraId="20BE094B">
      <w:pPr>
        <w:spacing w:before="400" w:after="400"/>
        <w:jc w:val="center"/>
      </w:pPr>
      <w:r>
        <w:rPr>
          <w:rFonts w:ascii="Times New Roman" w:hAnsi="Times New Roman" w:eastAsia="黑体" w:cs="Times New Roman"/>
          <w:b/>
          <w:bCs/>
          <w:color w:val="1B4F72"/>
          <w:sz w:val="36"/>
          <w:szCs w:val="36"/>
        </w:rPr>
        <w:t>目  录</w:t>
      </w:r>
    </w:p>
    <w:p w14:paraId="643065F3">
      <w:pPr>
        <w:spacing w:before="120" w:after="40"/>
      </w:pPr>
      <w:r>
        <w:rPr>
          <w:rFonts w:ascii="Times New Roman" w:hAnsi="Times New Roman" w:eastAsia="宋体" w:cs="Times New Roman"/>
          <w:b/>
          <w:bCs/>
          <w:color w:val="2C3E50"/>
          <w:sz w:val="26"/>
          <w:szCs w:val="26"/>
        </w:rPr>
        <w:t>第一章 项目背景与缘起</w:t>
      </w:r>
    </w:p>
    <w:p w14:paraId="50E0605B">
      <w:pPr>
        <w:spacing w:before="40" w:after="40"/>
        <w:ind w:left="600"/>
      </w:pPr>
      <w:r>
        <w:rPr>
          <w:rFonts w:ascii="Times New Roman" w:hAnsi="Times New Roman" w:eastAsia="宋体" w:cs="Times New Roman"/>
          <w:b w:val="0"/>
          <w:bCs w:val="0"/>
          <w:color w:val="2C3E50"/>
          <w:sz w:val="24"/>
          <w:szCs w:val="24"/>
        </w:rPr>
        <w:t xml:space="preserve">    1.1 匹克球——全民健身新赛道</w:t>
      </w:r>
    </w:p>
    <w:p w14:paraId="07E63000">
      <w:pPr>
        <w:spacing w:before="40" w:after="40"/>
        <w:ind w:left="600"/>
      </w:pPr>
      <w:r>
        <w:rPr>
          <w:rFonts w:ascii="Times New Roman" w:hAnsi="Times New Roman" w:eastAsia="宋体" w:cs="Times New Roman"/>
          <w:b w:val="0"/>
          <w:bCs w:val="0"/>
          <w:color w:val="2C3E50"/>
          <w:sz w:val="24"/>
          <w:szCs w:val="24"/>
        </w:rPr>
        <w:t xml:space="preserve">    1.2 重庆匹克球市场——蓄势待发</w:t>
      </w:r>
    </w:p>
    <w:p w14:paraId="3F2B88FB">
      <w:pPr>
        <w:spacing w:before="40" w:after="40"/>
        <w:ind w:left="600"/>
      </w:pPr>
      <w:r>
        <w:rPr>
          <w:rFonts w:ascii="Times New Roman" w:hAnsi="Times New Roman" w:eastAsia="宋体" w:cs="Times New Roman"/>
          <w:b w:val="0"/>
          <w:bCs w:val="0"/>
          <w:color w:val="2C3E50"/>
          <w:sz w:val="24"/>
          <w:szCs w:val="24"/>
        </w:rPr>
        <w:t xml:space="preserve">    1.3 南岸区与南山——政策东风</w:t>
      </w:r>
    </w:p>
    <w:p w14:paraId="59FD575A">
      <w:pPr>
        <w:spacing w:before="120" w:after="40"/>
      </w:pPr>
      <w:r>
        <w:rPr>
          <w:rFonts w:ascii="Times New Roman" w:hAnsi="Times New Roman" w:eastAsia="宋体" w:cs="Times New Roman"/>
          <w:b/>
          <w:bCs/>
          <w:color w:val="2C3E50"/>
          <w:sz w:val="26"/>
          <w:szCs w:val="26"/>
        </w:rPr>
        <w:t>第二章 项目概述</w:t>
      </w:r>
    </w:p>
    <w:p w14:paraId="5E64C2E2">
      <w:pPr>
        <w:spacing w:before="40" w:after="40"/>
        <w:ind w:left="600"/>
      </w:pPr>
      <w:r>
        <w:rPr>
          <w:rFonts w:ascii="Times New Roman" w:hAnsi="Times New Roman" w:eastAsia="宋体" w:cs="Times New Roman"/>
          <w:b w:val="0"/>
          <w:bCs w:val="0"/>
          <w:color w:val="2C3E50"/>
          <w:sz w:val="24"/>
          <w:szCs w:val="24"/>
        </w:rPr>
        <w:t xml:space="preserve">    2.1 项目名称</w:t>
      </w:r>
    </w:p>
    <w:p w14:paraId="2D48D5C2">
      <w:pPr>
        <w:spacing w:before="40" w:after="40"/>
        <w:ind w:left="600"/>
      </w:pPr>
      <w:r>
        <w:rPr>
          <w:rFonts w:ascii="Times New Roman" w:hAnsi="Times New Roman" w:eastAsia="宋体" w:cs="Times New Roman"/>
          <w:b w:val="0"/>
          <w:bCs w:val="0"/>
          <w:color w:val="2C3E50"/>
          <w:sz w:val="24"/>
          <w:szCs w:val="24"/>
        </w:rPr>
        <w:t xml:space="preserve">    2.2 项目定位</w:t>
      </w:r>
    </w:p>
    <w:p w14:paraId="18EEF98B">
      <w:pPr>
        <w:spacing w:before="40" w:after="40"/>
        <w:ind w:left="600"/>
      </w:pPr>
      <w:r>
        <w:rPr>
          <w:rFonts w:ascii="Times New Roman" w:hAnsi="Times New Roman" w:eastAsia="宋体" w:cs="Times New Roman"/>
          <w:b w:val="0"/>
          <w:bCs w:val="0"/>
          <w:color w:val="2C3E50"/>
          <w:sz w:val="24"/>
          <w:szCs w:val="24"/>
        </w:rPr>
        <w:t xml:space="preserve">    2.3 项目选址</w:t>
      </w:r>
    </w:p>
    <w:p w14:paraId="3EDB3B84">
      <w:pPr>
        <w:spacing w:before="40" w:after="40"/>
        <w:ind w:left="600"/>
      </w:pPr>
      <w:r>
        <w:rPr>
          <w:rFonts w:ascii="Times New Roman" w:hAnsi="Times New Roman" w:eastAsia="宋体" w:cs="Times New Roman"/>
          <w:b w:val="0"/>
          <w:bCs w:val="0"/>
          <w:color w:val="2C3E50"/>
          <w:sz w:val="24"/>
          <w:szCs w:val="24"/>
        </w:rPr>
        <w:t xml:space="preserve">    2.4 建设内容</w:t>
      </w:r>
    </w:p>
    <w:p w14:paraId="4A4BE2F0">
      <w:pPr>
        <w:spacing w:before="120" w:after="40"/>
      </w:pPr>
      <w:r>
        <w:rPr>
          <w:rFonts w:ascii="Times New Roman" w:hAnsi="Times New Roman" w:eastAsia="宋体" w:cs="Times New Roman"/>
          <w:b/>
          <w:bCs/>
          <w:color w:val="2C3E50"/>
          <w:sz w:val="26"/>
          <w:szCs w:val="26"/>
        </w:rPr>
        <w:t>第三章 规划方案</w:t>
      </w:r>
    </w:p>
    <w:p w14:paraId="4A1A1793">
      <w:pPr>
        <w:spacing w:before="40" w:after="40"/>
        <w:ind w:left="600"/>
      </w:pPr>
      <w:r>
        <w:rPr>
          <w:rFonts w:ascii="Times New Roman" w:hAnsi="Times New Roman" w:eastAsia="宋体" w:cs="Times New Roman"/>
          <w:b w:val="0"/>
          <w:bCs w:val="0"/>
          <w:color w:val="2C3E50"/>
          <w:sz w:val="24"/>
          <w:szCs w:val="24"/>
        </w:rPr>
        <w:t xml:space="preserve">    3.1 总体布局</w:t>
      </w:r>
    </w:p>
    <w:p w14:paraId="1AA4F879">
      <w:pPr>
        <w:spacing w:before="40" w:after="40"/>
        <w:ind w:left="600"/>
      </w:pPr>
      <w:r>
        <w:rPr>
          <w:rFonts w:ascii="Times New Roman" w:hAnsi="Times New Roman" w:eastAsia="宋体" w:cs="Times New Roman"/>
          <w:b w:val="0"/>
          <w:bCs w:val="0"/>
          <w:color w:val="2C3E50"/>
          <w:sz w:val="24"/>
          <w:szCs w:val="24"/>
        </w:rPr>
        <w:t xml:space="preserve">    3.2 非永久性建设方案</w:t>
      </w:r>
    </w:p>
    <w:p w14:paraId="02CF9FC4">
      <w:pPr>
        <w:spacing w:before="40" w:after="40"/>
        <w:ind w:left="600"/>
      </w:pPr>
      <w:r>
        <w:rPr>
          <w:rFonts w:ascii="Times New Roman" w:hAnsi="Times New Roman" w:eastAsia="宋体" w:cs="Times New Roman"/>
          <w:b w:val="0"/>
          <w:bCs w:val="0"/>
          <w:color w:val="2C3E50"/>
          <w:sz w:val="24"/>
          <w:szCs w:val="24"/>
        </w:rPr>
        <w:t xml:space="preserve">    3.3 运营体系</w:t>
      </w:r>
    </w:p>
    <w:p w14:paraId="53EFA6B0">
      <w:pPr>
        <w:spacing w:before="120" w:after="40"/>
      </w:pPr>
      <w:r>
        <w:rPr>
          <w:rFonts w:ascii="Times New Roman" w:hAnsi="Times New Roman" w:eastAsia="宋体" w:cs="Times New Roman"/>
          <w:b/>
          <w:bCs/>
          <w:color w:val="2C3E50"/>
          <w:sz w:val="26"/>
          <w:szCs w:val="26"/>
        </w:rPr>
        <w:t>第四章 社会价值</w:t>
      </w:r>
    </w:p>
    <w:p w14:paraId="712A76E5">
      <w:pPr>
        <w:spacing w:before="40" w:after="40"/>
        <w:ind w:left="600"/>
      </w:pPr>
      <w:r>
        <w:rPr>
          <w:rFonts w:ascii="Times New Roman" w:hAnsi="Times New Roman" w:eastAsia="宋体" w:cs="Times New Roman"/>
          <w:b w:val="0"/>
          <w:bCs w:val="0"/>
          <w:color w:val="2C3E50"/>
          <w:sz w:val="24"/>
          <w:szCs w:val="24"/>
        </w:rPr>
        <w:t xml:space="preserve">    4.1 落实全民健身国家战略</w:t>
      </w:r>
    </w:p>
    <w:p w14:paraId="331D8D7E">
      <w:pPr>
        <w:spacing w:before="40" w:after="40"/>
        <w:ind w:left="600"/>
      </w:pPr>
      <w:r>
        <w:rPr>
          <w:rFonts w:ascii="Times New Roman" w:hAnsi="Times New Roman" w:eastAsia="宋体" w:cs="Times New Roman"/>
          <w:b w:val="0"/>
          <w:bCs w:val="0"/>
          <w:color w:val="2C3E50"/>
          <w:sz w:val="24"/>
          <w:szCs w:val="24"/>
        </w:rPr>
        <w:t xml:space="preserve">    4.2 助力南山高质量户外运动目的地建设</w:t>
      </w:r>
    </w:p>
    <w:p w14:paraId="5C5A8846">
      <w:pPr>
        <w:spacing w:before="40" w:after="40"/>
        <w:ind w:left="600"/>
      </w:pPr>
      <w:r>
        <w:rPr>
          <w:rFonts w:ascii="Times New Roman" w:hAnsi="Times New Roman" w:eastAsia="宋体" w:cs="Times New Roman"/>
          <w:b w:val="0"/>
          <w:bCs w:val="0"/>
          <w:color w:val="2C3E50"/>
          <w:sz w:val="24"/>
          <w:szCs w:val="24"/>
        </w:rPr>
        <w:t xml:space="preserve">    4.3 提升城市形象，盘活闲置土地</w:t>
      </w:r>
    </w:p>
    <w:p w14:paraId="4E0C26B0">
      <w:pPr>
        <w:spacing w:before="40" w:after="40"/>
        <w:ind w:left="600"/>
      </w:pPr>
      <w:r>
        <w:rPr>
          <w:rFonts w:ascii="Times New Roman" w:hAnsi="Times New Roman" w:eastAsia="宋体" w:cs="Times New Roman"/>
          <w:b w:val="0"/>
          <w:bCs w:val="0"/>
          <w:color w:val="2C3E50"/>
          <w:sz w:val="24"/>
          <w:szCs w:val="24"/>
        </w:rPr>
        <w:t xml:space="preserve">    4.4 带动就业与人才培养</w:t>
      </w:r>
    </w:p>
    <w:p w14:paraId="1E7201D2">
      <w:pPr>
        <w:spacing w:before="40" w:after="40"/>
        <w:ind w:left="600"/>
      </w:pPr>
      <w:r>
        <w:rPr>
          <w:rFonts w:ascii="Times New Roman" w:hAnsi="Times New Roman" w:eastAsia="宋体" w:cs="Times New Roman"/>
          <w:b w:val="0"/>
          <w:bCs w:val="0"/>
          <w:color w:val="2C3E50"/>
          <w:sz w:val="24"/>
          <w:szCs w:val="24"/>
        </w:rPr>
        <w:t xml:space="preserve">    4.5 促进体旅融合，丰富文旅供给</w:t>
      </w:r>
    </w:p>
    <w:p w14:paraId="53FA033A">
      <w:pPr>
        <w:spacing w:before="40" w:after="40"/>
        <w:ind w:left="600"/>
      </w:pPr>
      <w:r>
        <w:rPr>
          <w:rFonts w:ascii="Times New Roman" w:hAnsi="Times New Roman" w:eastAsia="宋体" w:cs="Times New Roman"/>
          <w:b w:val="0"/>
          <w:bCs w:val="0"/>
          <w:color w:val="2C3E50"/>
          <w:sz w:val="24"/>
          <w:szCs w:val="24"/>
        </w:rPr>
        <w:t xml:space="preserve">    4.6 创新用地模式示范</w:t>
      </w:r>
    </w:p>
    <w:p w14:paraId="13F7E2D6">
      <w:pPr>
        <w:spacing w:before="120" w:after="40"/>
      </w:pPr>
      <w:r>
        <w:rPr>
          <w:rFonts w:ascii="Times New Roman" w:hAnsi="Times New Roman" w:eastAsia="宋体" w:cs="Times New Roman"/>
          <w:b/>
          <w:bCs/>
          <w:color w:val="2C3E50"/>
          <w:sz w:val="26"/>
          <w:szCs w:val="26"/>
        </w:rPr>
        <w:t>第五章 经济价值</w:t>
      </w:r>
    </w:p>
    <w:p w14:paraId="675D4933">
      <w:pPr>
        <w:spacing w:before="40" w:after="40"/>
        <w:ind w:left="600"/>
      </w:pPr>
      <w:r>
        <w:rPr>
          <w:rFonts w:ascii="Times New Roman" w:hAnsi="Times New Roman" w:eastAsia="宋体" w:cs="Times New Roman"/>
          <w:b w:val="0"/>
          <w:bCs w:val="0"/>
          <w:color w:val="2C3E50"/>
          <w:sz w:val="24"/>
          <w:szCs w:val="24"/>
        </w:rPr>
        <w:t xml:space="preserve">    5.1 直接经济效益</w:t>
      </w:r>
    </w:p>
    <w:p w14:paraId="353F0F39">
      <w:pPr>
        <w:spacing w:before="40" w:after="40"/>
        <w:ind w:left="600"/>
      </w:pPr>
      <w:r>
        <w:rPr>
          <w:rFonts w:ascii="Times New Roman" w:hAnsi="Times New Roman" w:eastAsia="宋体" w:cs="Times New Roman"/>
          <w:b w:val="0"/>
          <w:bCs w:val="0"/>
          <w:color w:val="2C3E50"/>
          <w:sz w:val="24"/>
          <w:szCs w:val="24"/>
        </w:rPr>
        <w:t xml:space="preserve">    5.2 间接经济效益</w:t>
      </w:r>
    </w:p>
    <w:p w14:paraId="6C35130D">
      <w:pPr>
        <w:spacing w:before="40" w:after="40"/>
        <w:ind w:left="600"/>
      </w:pPr>
      <w:r>
        <w:rPr>
          <w:rFonts w:ascii="Times New Roman" w:hAnsi="Times New Roman" w:eastAsia="宋体" w:cs="Times New Roman"/>
          <w:b w:val="0"/>
          <w:bCs w:val="0"/>
          <w:color w:val="2C3E50"/>
          <w:sz w:val="24"/>
          <w:szCs w:val="24"/>
        </w:rPr>
        <w:t xml:space="preserve">    5.3 品牌溢出价值</w:t>
      </w:r>
    </w:p>
    <w:p w14:paraId="049E1213">
      <w:pPr>
        <w:spacing w:before="120" w:after="40"/>
      </w:pPr>
      <w:r>
        <w:rPr>
          <w:rFonts w:ascii="Times New Roman" w:hAnsi="Times New Roman" w:eastAsia="宋体" w:cs="Times New Roman"/>
          <w:b/>
          <w:bCs/>
          <w:color w:val="2C3E50"/>
          <w:sz w:val="26"/>
          <w:szCs w:val="26"/>
        </w:rPr>
        <w:t>第六章 合作模式</w:t>
      </w:r>
    </w:p>
    <w:p w14:paraId="0164C8D5">
      <w:pPr>
        <w:spacing w:before="40" w:after="40"/>
        <w:ind w:left="600"/>
      </w:pPr>
      <w:r>
        <w:rPr>
          <w:rFonts w:ascii="Times New Roman" w:hAnsi="Times New Roman" w:eastAsia="宋体" w:cs="Times New Roman"/>
          <w:b w:val="0"/>
          <w:bCs w:val="0"/>
          <w:color w:val="2C3E50"/>
          <w:sz w:val="24"/>
          <w:szCs w:val="24"/>
        </w:rPr>
        <w:t xml:space="preserve">    6.1 合作架构</w:t>
      </w:r>
    </w:p>
    <w:p w14:paraId="33F819BD">
      <w:pPr>
        <w:spacing w:before="40" w:after="40"/>
        <w:ind w:left="600"/>
      </w:pPr>
      <w:r>
        <w:rPr>
          <w:rFonts w:ascii="Times New Roman" w:hAnsi="Times New Roman" w:eastAsia="宋体" w:cs="Times New Roman"/>
          <w:b w:val="0"/>
          <w:bCs w:val="0"/>
          <w:color w:val="2C3E50"/>
          <w:sz w:val="24"/>
          <w:szCs w:val="24"/>
        </w:rPr>
        <w:t xml:space="preserve">    6.2 合作期限与条件建议</w:t>
      </w:r>
    </w:p>
    <w:p w14:paraId="703F7451">
      <w:pPr>
        <w:spacing w:before="40" w:after="40"/>
        <w:ind w:left="600"/>
      </w:pPr>
      <w:r>
        <w:rPr>
          <w:rFonts w:ascii="Times New Roman" w:hAnsi="Times New Roman" w:eastAsia="宋体" w:cs="Times New Roman"/>
          <w:b w:val="0"/>
          <w:bCs w:val="0"/>
          <w:color w:val="2C3E50"/>
          <w:sz w:val="24"/>
          <w:szCs w:val="24"/>
        </w:rPr>
        <w:t xml:space="preserve">    6.3 双方权责清单</w:t>
      </w:r>
    </w:p>
    <w:p w14:paraId="020953D7">
      <w:pPr>
        <w:spacing w:before="40" w:after="40"/>
        <w:ind w:left="600"/>
      </w:pPr>
      <w:r>
        <w:rPr>
          <w:rFonts w:ascii="Times New Roman" w:hAnsi="Times New Roman" w:eastAsia="宋体" w:cs="Times New Roman"/>
          <w:b w:val="0"/>
          <w:bCs w:val="0"/>
          <w:color w:val="2C3E50"/>
          <w:sz w:val="24"/>
          <w:szCs w:val="24"/>
        </w:rPr>
        <w:t xml:space="preserve">    6.4 风险共担机制</w:t>
      </w:r>
    </w:p>
    <w:p w14:paraId="600E33E1">
      <w:pPr>
        <w:spacing w:before="120" w:after="40"/>
      </w:pPr>
      <w:r>
        <w:rPr>
          <w:rFonts w:ascii="Times New Roman" w:hAnsi="Times New Roman" w:eastAsia="宋体" w:cs="Times New Roman"/>
          <w:b/>
          <w:bCs/>
          <w:color w:val="2C3E50"/>
          <w:sz w:val="26"/>
          <w:szCs w:val="26"/>
        </w:rPr>
        <w:t>第七章 投资计划与时间表</w:t>
      </w:r>
    </w:p>
    <w:p w14:paraId="64AD3B4D">
      <w:pPr>
        <w:spacing w:before="40" w:after="40"/>
        <w:ind w:left="600"/>
      </w:pPr>
      <w:r>
        <w:rPr>
          <w:rFonts w:ascii="Times New Roman" w:hAnsi="Times New Roman" w:eastAsia="宋体" w:cs="Times New Roman"/>
          <w:b w:val="0"/>
          <w:bCs w:val="0"/>
          <w:color w:val="2C3E50"/>
          <w:sz w:val="24"/>
          <w:szCs w:val="24"/>
        </w:rPr>
        <w:t xml:space="preserve">    7.1 投资分配</w:t>
      </w:r>
    </w:p>
    <w:p w14:paraId="6D60C423">
      <w:pPr>
        <w:spacing w:before="40" w:after="40"/>
        <w:ind w:left="600"/>
      </w:pPr>
      <w:r>
        <w:rPr>
          <w:rFonts w:ascii="Times New Roman" w:hAnsi="Times New Roman" w:eastAsia="宋体" w:cs="Times New Roman"/>
          <w:b w:val="0"/>
          <w:bCs w:val="0"/>
          <w:color w:val="2C3E50"/>
          <w:sz w:val="24"/>
          <w:szCs w:val="24"/>
        </w:rPr>
        <w:t xml:space="preserve">    7.2 建设时间表</w:t>
      </w:r>
    </w:p>
    <w:p w14:paraId="0234A49A">
      <w:pPr>
        <w:spacing w:before="120" w:after="40"/>
      </w:pPr>
      <w:r>
        <w:rPr>
          <w:rFonts w:ascii="Times New Roman" w:hAnsi="Times New Roman" w:eastAsia="宋体" w:cs="Times New Roman"/>
          <w:b/>
          <w:bCs/>
          <w:color w:val="2C3E50"/>
          <w:sz w:val="26"/>
          <w:szCs w:val="26"/>
        </w:rPr>
        <w:t>第八章 结语</w:t>
      </w:r>
    </w:p>
    <w:p w14:paraId="15B256CC">
      <w:pPr>
        <w:sectPr>
          <w:headerReference r:id="rId3" w:type="default"/>
          <w:footerReference r:id="rId4" w:type="default"/>
          <w:pgSz w:w="11906" w:h="16838"/>
          <w:pgMar w:top="1440" w:right="1440" w:bottom="1440" w:left="1440" w:header="708" w:footer="708" w:gutter="0"/>
          <w:pgNumType w:start="1"/>
          <w:cols w:space="720" w:num="1"/>
          <w:docGrid w:linePitch="360" w:charSpace="0"/>
        </w:sectPr>
      </w:pPr>
    </w:p>
    <w:p w14:paraId="4A633D4F">
      <w:pPr>
        <w:pStyle w:val="2"/>
        <w:keepNext/>
        <w:keepLines/>
      </w:pPr>
      <w:r>
        <w:t>第一章 项目背景与缘起</w:t>
      </w:r>
    </w:p>
    <w:p w14:paraId="73CF3F95">
      <w:pPr>
        <w:spacing w:before="80" w:after="80" w:line="360" w:lineRule="auto"/>
        <w:ind w:firstLine="480"/>
        <w:jc w:val="both"/>
      </w:pPr>
      <w:r>
        <w:rPr>
          <w:rFonts w:ascii="Times New Roman" w:hAnsi="Times New Roman" w:eastAsia="宋体" w:cs="Times New Roman"/>
          <w:color w:val="000000"/>
          <w:sz w:val="24"/>
          <w:szCs w:val="24"/>
        </w:rPr>
        <w:t>匹克球运动正以前所未有的速度席卷中国，成为全民健身领域最引人注目的新增长极。本章将从全国市场态势、重庆本地发展和南岸区政策环境三个维度，阐述南山森兰匹克球运动公园项目的时代背景与战略机遇。</w:t>
      </w:r>
    </w:p>
    <w:p w14:paraId="448FCDFE">
      <w:pPr>
        <w:pStyle w:val="3"/>
        <w:keepNext/>
        <w:keepLines/>
      </w:pPr>
      <w:r>
        <w:t>1.1 匹克球——全民健身新赛道</w:t>
      </w:r>
    </w:p>
    <w:p w14:paraId="4A848144">
      <w:pPr>
        <w:spacing w:before="80" w:after="80" w:line="360" w:lineRule="auto"/>
        <w:ind w:firstLine="480"/>
        <w:jc w:val="both"/>
      </w:pPr>
      <w:r>
        <w:rPr>
          <w:rFonts w:ascii="Times New Roman" w:hAnsi="Times New Roman" w:eastAsia="宋体" w:cs="Times New Roman"/>
          <w:color w:val="000000"/>
          <w:sz w:val="24"/>
          <w:szCs w:val="24"/>
        </w:rPr>
        <w:t>匹克球（Pickleball）是一项融合网球、乒乓球和羽毛球特点的新兴运动，因其“三低三高”的独特优势——低门槛、低成本、低风险，高社交、高综合价值、高安全——正在全球范围内快速普及。</w:t>
      </w:r>
    </w:p>
    <w:p w14:paraId="5D908E78">
      <w:pPr>
        <w:spacing w:before="80" w:after="80" w:line="360" w:lineRule="auto"/>
        <w:ind w:firstLine="480"/>
        <w:jc w:val="both"/>
      </w:pPr>
      <w:r>
        <w:rPr>
          <w:rFonts w:ascii="Times New Roman" w:hAnsi="Times New Roman" w:eastAsia="宋体" w:cs="Times New Roman"/>
          <w:color w:val="000000"/>
          <w:sz w:val="24"/>
          <w:szCs w:val="24"/>
        </w:rPr>
        <w:t>根据中国体育用品业联合会发布的数据，2025年国内匹克球装备及服务市场规模已突破18亿元，未来5年复合增长率高达47%。国家体育总局网球运动管理中心统计显示，目前全国已有800万常态化参与人群，超过2000万人体验过匹克球，预计活跃用户将达3000万。</w:t>
      </w:r>
    </w:p>
    <w:p w14:paraId="1B33807B">
      <w:pPr>
        <w:spacing w:before="80" w:after="80" w:line="360" w:lineRule="auto"/>
        <w:ind w:firstLine="480"/>
        <w:jc w:val="both"/>
      </w:pPr>
      <w:r>
        <w:rPr>
          <w:rFonts w:ascii="Times New Roman" w:hAnsi="Times New Roman" w:eastAsia="宋体" w:cs="Times New Roman"/>
          <w:color w:val="000000"/>
          <w:sz w:val="24"/>
          <w:szCs w:val="24"/>
        </w:rPr>
        <w:t>赛事体系的爆发式增长更为直观：中国匹克球巡回赛从2024年的80站飙升至2026年的1000站，覆盖全国99座城市。2025年起，匹克球正式成为全民健身大赛规定项目，截至2026年已有10个省区市将其纳入省级运动会正式比赛项目。</w:t>
      </w:r>
    </w:p>
    <w:p w14:paraId="016D63AE">
      <w:pPr>
        <w:spacing w:before="80" w:after="80" w:line="360" w:lineRule="auto"/>
        <w:ind w:firstLine="480"/>
        <w:jc w:val="both"/>
      </w:pPr>
      <w:r>
        <w:rPr>
          <w:rFonts w:ascii="Times New Roman" w:hAnsi="Times New Roman" w:eastAsia="宋体" w:cs="Times New Roman"/>
          <w:color w:val="000000"/>
          <w:sz w:val="24"/>
          <w:szCs w:val="24"/>
        </w:rPr>
        <w:t>社交媒体数据同样印证了这一趋势：小红书平台匹克球相关搜索量同比增长519%，抖音话题播放量突破3.7亿次。李宁、安踏、阿迪达斯等头部运动品牌纷纷布局匹克球领域，其中李宁已签约赞助全国匹克球锦标赛至2032年。业界普遍将匹克球视为“下一个马拉松式大众热门运动”。</w:t>
      </w:r>
    </w:p>
    <w:p w14:paraId="1FA21E4F">
      <w:pPr>
        <w:pStyle w:val="3"/>
        <w:keepNext/>
        <w:keepLines/>
      </w:pPr>
      <w:r>
        <w:t>1.2 重庆匹克球市场——蓄势待发</w:t>
      </w:r>
    </w:p>
    <w:p w14:paraId="61ECD523">
      <w:pPr>
        <w:spacing w:before="80" w:after="80" w:line="360" w:lineRule="auto"/>
        <w:ind w:firstLine="480"/>
        <w:jc w:val="both"/>
      </w:pPr>
      <w:r>
        <w:rPr>
          <w:rFonts w:ascii="Times New Roman" w:hAnsi="Times New Roman" w:eastAsia="宋体" w:cs="Times New Roman"/>
          <w:color w:val="000000"/>
          <w:sz w:val="24"/>
          <w:szCs w:val="24"/>
        </w:rPr>
        <w:t>重庆匹克球运动正处于快速起势阶段。截至2025年底，全市匹克球俱乐部已突破10家，场地总数约40-50片。以中央公园大悦城商场馆为例，该馆开业仅3个月即实现盈利，工作日场地利用率超过60%，周末更是场场满员，充分印证了市场需求的旺盛。</w:t>
      </w:r>
    </w:p>
    <w:p w14:paraId="376E3796">
      <w:pPr>
        <w:spacing w:before="80" w:after="80" w:line="360" w:lineRule="auto"/>
        <w:ind w:firstLine="480"/>
        <w:jc w:val="both"/>
      </w:pPr>
      <w:r>
        <w:rPr>
          <w:rFonts w:ascii="Times New Roman" w:hAnsi="Times New Roman" w:eastAsia="宋体" w:cs="Times New Roman"/>
          <w:color w:val="000000"/>
          <w:sz w:val="24"/>
          <w:szCs w:val="24"/>
        </w:rPr>
        <w:t>政策层面，重庆“青春经济”首次写入“十五五”规划纲要，为体育运动产业发展提供了明确的政策信号。匹克球已正式纳入重庆市网球协会管理范畴，运动规范化程度不断提升。</w:t>
      </w:r>
    </w:p>
    <w:p w14:paraId="4FB3C676">
      <w:pPr>
        <w:spacing w:before="80" w:after="80" w:line="360" w:lineRule="auto"/>
        <w:ind w:firstLine="480"/>
        <w:jc w:val="both"/>
      </w:pPr>
      <w:r>
        <w:rPr>
          <w:rFonts w:ascii="Times New Roman" w:hAnsi="Times New Roman" w:eastAsia="宋体" w:cs="Times New Roman"/>
          <w:color w:val="000000"/>
          <w:sz w:val="24"/>
          <w:szCs w:val="24"/>
        </w:rPr>
        <w:t>然而，当前重庆市场尚处早期发展阶段，缺乏大型专业户外匹克球综合体，现有场地多为室内商场馆或社区简易场地，无法满足专业赛事、大规模培训和综合性运动体验的需求。这一市场空白恰恰为南山森兰匹克球运动公园提供了先发优势。</w:t>
      </w:r>
    </w:p>
    <w:p w14:paraId="180B7B53">
      <w:pPr>
        <w:pStyle w:val="3"/>
        <w:keepNext/>
        <w:keepLines/>
      </w:pPr>
      <w:r>
        <w:t>1.3 南岸区与南山——政策东风</w:t>
      </w:r>
    </w:p>
    <w:p w14:paraId="7220111E">
      <w:pPr>
        <w:spacing w:before="80" w:after="80" w:line="360" w:lineRule="auto"/>
        <w:ind w:firstLine="480"/>
        <w:jc w:val="both"/>
      </w:pPr>
      <w:r>
        <w:rPr>
          <w:rFonts w:ascii="Times New Roman" w:hAnsi="Times New Roman" w:eastAsia="宋体" w:cs="Times New Roman"/>
          <w:color w:val="000000"/>
          <w:sz w:val="24"/>
          <w:szCs w:val="24"/>
        </w:rPr>
        <w:t>南岸区委、区政府已明确提出战略部署：“将南山打造成为重庆主城旅游休闲首选地、高质量户外运动目的地”。这一战略定位为南山片区发展户外运动产业提供了强有力的政策支撑。</w:t>
      </w:r>
    </w:p>
    <w:p w14:paraId="3BE36C50">
      <w:pPr>
        <w:spacing w:before="80" w:after="80" w:line="360" w:lineRule="auto"/>
        <w:ind w:firstLine="480"/>
        <w:jc w:val="both"/>
      </w:pPr>
      <w:r>
        <w:rPr>
          <w:rFonts w:ascii="Times New Roman" w:hAnsi="Times New Roman" w:eastAsia="宋体" w:cs="Times New Roman"/>
          <w:color w:val="000000"/>
          <w:sz w:val="24"/>
          <w:szCs w:val="24"/>
        </w:rPr>
        <w:t>从数据来看，2026年上半年南岸区旅游花费达235亿元，同比增长7.4%；“体育+文旅”赛事年均带动区域消费超60亿元，体旅融合已成为区域经济增长的重要引擎。南山火锅小镇日均接待超5000桌，已成为重庆美食文旅的标杆项目；南山一棵树、壹华里等文旅项目也在持续升级迭代。</w:t>
      </w:r>
    </w:p>
    <w:p w14:paraId="3A4C55C2">
      <w:pPr>
        <w:spacing w:before="80" w:after="80" w:line="360" w:lineRule="auto"/>
        <w:ind w:firstLine="480"/>
        <w:jc w:val="both"/>
      </w:pPr>
      <w:r>
        <w:rPr>
          <w:rFonts w:ascii="Times New Roman" w:hAnsi="Times New Roman" w:eastAsia="宋体" w:cs="Times New Roman"/>
          <w:color w:val="000000"/>
          <w:sz w:val="24"/>
          <w:szCs w:val="24"/>
        </w:rPr>
        <w:t>项目所在地块位于向黄路主干道旁，长期处于闲置状态，杂草丛生、围挡多年，严重影响南山门户位置的城市形象。该地块亟需通过高品质项目实现盘活利用，而匹克球运动公园的建设正是落实区域战略、提升城市品质的理想选择。</w:t>
      </w:r>
    </w:p>
    <w:p w14:paraId="0BC5B323">
      <w:pPr>
        <w:pStyle w:val="2"/>
        <w:keepNext/>
        <w:keepLines/>
      </w:pPr>
      <w:r>
        <w:t>第二章 项目概述</w:t>
      </w:r>
    </w:p>
    <w:p w14:paraId="6E4E917A">
      <w:pPr>
        <w:spacing w:before="80" w:after="80" w:line="360" w:lineRule="auto"/>
        <w:ind w:firstLine="480"/>
        <w:jc w:val="both"/>
      </w:pPr>
      <w:r>
        <w:rPr>
          <w:rFonts w:ascii="Times New Roman" w:hAnsi="Times New Roman" w:eastAsia="宋体" w:cs="Times New Roman"/>
          <w:color w:val="000000"/>
          <w:sz w:val="24"/>
          <w:szCs w:val="24"/>
        </w:rPr>
        <w:t>本章对南山森兰匹克球运动公园项目的基本信息进行系统梳理，明确项目名称、定位、选址优势和建设内容。</w:t>
      </w:r>
    </w:p>
    <w:p w14:paraId="2E2D6EFA">
      <w:pPr>
        <w:pStyle w:val="3"/>
        <w:keepNext/>
        <w:keepLines/>
      </w:pPr>
      <w:r>
        <w:t>2.1 项目名称</w:t>
      </w:r>
    </w:p>
    <w:p w14:paraId="50F90DDD">
      <w:pPr>
        <w:spacing w:before="80" w:after="80" w:line="360" w:lineRule="auto"/>
        <w:ind w:firstLine="480"/>
        <w:jc w:val="both"/>
      </w:pPr>
      <w:r>
        <w:rPr>
          <w:rFonts w:ascii="Times New Roman" w:hAnsi="Times New Roman" w:eastAsia="宋体" w:cs="Times New Roman"/>
          <w:color w:val="000000"/>
          <w:sz w:val="24"/>
          <w:szCs w:val="24"/>
        </w:rPr>
        <w:t>南山森兰匹克球运动公园。</w:t>
      </w:r>
    </w:p>
    <w:p w14:paraId="44D0F412">
      <w:pPr>
        <w:pStyle w:val="3"/>
        <w:keepNext/>
        <w:keepLines/>
      </w:pPr>
      <w:r>
        <w:t>2.2 项目定位</w:t>
      </w:r>
    </w:p>
    <w:p w14:paraId="110996CC">
      <w:pPr>
        <w:spacing w:before="80" w:after="80" w:line="360" w:lineRule="auto"/>
        <w:ind w:firstLine="480"/>
        <w:jc w:val="both"/>
      </w:pPr>
      <w:r>
        <w:rPr>
          <w:rFonts w:ascii="Times New Roman" w:hAnsi="Times New Roman" w:eastAsia="宋体" w:cs="Times New Roman"/>
          <w:color w:val="000000"/>
          <w:sz w:val="24"/>
          <w:szCs w:val="24"/>
        </w:rPr>
        <w:t>重庆首个大型户外山地匹克球主题运动公园——集匹克球/网球运动、赛事承办、专业培训、休闲社交、文化消费于一体的综合性户外运动目的地。</w:t>
      </w:r>
    </w:p>
    <w:p w14:paraId="1B160528">
      <w:pPr>
        <w:spacing w:before="80" w:after="80" w:line="360" w:lineRule="auto"/>
        <w:ind w:firstLine="480"/>
        <w:jc w:val="both"/>
      </w:pPr>
      <w:r>
        <w:rPr>
          <w:rFonts w:ascii="Times New Roman" w:hAnsi="Times New Roman" w:eastAsia="宋体" w:cs="Times New Roman"/>
          <w:color w:val="000000"/>
          <w:sz w:val="24"/>
          <w:szCs w:val="24"/>
        </w:rPr>
        <w:t>项目以匹克球运动为核心引擎，以网球运动为有力补充，通过“运动+社交+消费”的复合模式，打造一个既能满足专业运动需求、又能承载大众休闲消费的户外体育综合体。</w:t>
      </w:r>
    </w:p>
    <w:p w14:paraId="57EAA69A">
      <w:pPr>
        <w:pStyle w:val="3"/>
        <w:keepNext/>
        <w:keepLines/>
      </w:pPr>
      <w:r>
        <w:t>2.3 项目选址</w:t>
      </w:r>
    </w:p>
    <w:p w14:paraId="4E6C7AE1">
      <w:pPr>
        <w:spacing w:before="80" w:after="80" w:line="360" w:lineRule="auto"/>
        <w:ind w:firstLine="480"/>
        <w:jc w:val="both"/>
      </w:pPr>
      <w:r>
        <w:rPr>
          <w:rFonts w:ascii="Times New Roman" w:hAnsi="Times New Roman" w:eastAsia="宋体" w:cs="Times New Roman"/>
          <w:color w:val="000000"/>
          <w:sz w:val="24"/>
          <w:szCs w:val="24"/>
        </w:rPr>
        <w:t>项目选址于重庆市南岸区向黄路向黄隧道上山方向出口南侧，紧邻南山门户位置。地块总面积约2.1万平方米，合作达成后，上海森兰将负责对地块进行场地平整</w:t>
      </w:r>
      <w:bookmarkStart w:id="0" w:name="_GoBack"/>
      <w:bookmarkEnd w:id="0"/>
      <w:r>
        <w:rPr>
          <w:rFonts w:ascii="Times New Roman" w:hAnsi="Times New Roman" w:eastAsia="宋体" w:cs="Times New Roman"/>
          <w:color w:val="000000"/>
          <w:sz w:val="24"/>
          <w:szCs w:val="24"/>
        </w:rPr>
        <w:t>，使之成为全平地临街状态，实现土地的最大化利用。</w:t>
      </w:r>
    </w:p>
    <w:p w14:paraId="3CBFBB4E">
      <w:pPr>
        <w:spacing w:before="80" w:after="80" w:line="360" w:lineRule="auto"/>
        <w:ind w:firstLine="480"/>
        <w:jc w:val="both"/>
      </w:pPr>
      <w:r>
        <w:rPr>
          <w:rFonts w:ascii="Times New Roman" w:hAnsi="Times New Roman" w:eastAsia="宋体" w:cs="Times New Roman"/>
          <w:color w:val="000000"/>
          <w:sz w:val="24"/>
          <w:szCs w:val="24"/>
        </w:rPr>
        <w:t>地块优势显著：其一，交通便利，紧邻向黄路主干道，城市可达性强；其二，背靠南山景区，享有天然客流优势；其三，平整后的全平地布局将大幅降低建设成本和工期；其四，周边无同类竞品，区位独占性强。</w:t>
      </w:r>
    </w:p>
    <w:p w14:paraId="28946ACC">
      <w:pPr>
        <w:pStyle w:val="3"/>
        <w:keepNext/>
        <w:keepLines/>
      </w:pPr>
      <w:r>
        <w:t>2.4 建设内容</w:t>
      </w:r>
    </w:p>
    <w:p w14:paraId="1BF11FAA">
      <w:pPr>
        <w:spacing w:before="80" w:after="80" w:line="360" w:lineRule="auto"/>
        <w:ind w:firstLine="480"/>
        <w:jc w:val="both"/>
      </w:pPr>
      <w:r>
        <w:rPr>
          <w:rFonts w:ascii="Times New Roman" w:hAnsi="Times New Roman" w:eastAsia="宋体" w:cs="Times New Roman"/>
          <w:color w:val="000000"/>
          <w:sz w:val="24"/>
          <w:szCs w:val="24"/>
        </w:rPr>
        <w:t>项目主要建设内容包括以下六大板块：</w:t>
      </w:r>
    </w:p>
    <w:p w14:paraId="31EB0E47">
      <w:pPr>
        <w:spacing w:before="80" w:after="80" w:line="360" w:lineRule="auto"/>
        <w:ind w:firstLine="480"/>
        <w:jc w:val="both"/>
      </w:pPr>
      <w:r>
        <w:rPr>
          <w:rFonts w:ascii="Times New Roman" w:hAnsi="Times New Roman" w:eastAsia="宋体" w:cs="Times New Roman"/>
          <w:color w:val="000000"/>
          <w:sz w:val="24"/>
          <w:szCs w:val="24"/>
        </w:rPr>
        <w:t>第一，18片标准匹克球场，包含比赛级和训练级分区，可满足从日常训练到专业赛事的全层次需求。第二，6块标准网球场，形成双球类运动的协同效应。第三，配套服务设施，包括咖啡轻食区、音乐驿站、更衣淋浴间和器材存放区。第四，多功能停车场，满足日常运营和赛事期间的大容量停车需求。第五，景观绿化及公共休闲空间，保持公园绿地的公共属性。第六，婚纱/旅拍打卡景观节点，拓展场地的商业价值和传播价值。</w:t>
      </w:r>
    </w:p>
    <w:p w14:paraId="52AC62ED">
      <w:pPr>
        <w:pStyle w:val="2"/>
        <w:keepNext/>
        <w:keepLines/>
      </w:pPr>
      <w:r>
        <w:t>第三章 规划方案</w:t>
      </w:r>
    </w:p>
    <w:p w14:paraId="66B12ED8">
      <w:pPr>
        <w:spacing w:before="80" w:after="80" w:line="360" w:lineRule="auto"/>
        <w:ind w:firstLine="480"/>
        <w:jc w:val="both"/>
      </w:pPr>
      <w:r>
        <w:rPr>
          <w:rFonts w:ascii="Times New Roman" w:hAnsi="Times New Roman" w:eastAsia="宋体" w:cs="Times New Roman"/>
          <w:color w:val="000000"/>
          <w:sz w:val="24"/>
          <w:szCs w:val="24"/>
        </w:rPr>
        <w:t>本章阐述项目的总体规划布局、非永久性建设方案和运营体系设计。</w:t>
      </w:r>
    </w:p>
    <w:p w14:paraId="21EE02E3">
      <w:pPr>
        <w:pStyle w:val="3"/>
        <w:keepNext/>
        <w:keepLines/>
      </w:pPr>
      <w:r>
        <w:t>3.1 总体布局</w:t>
      </w:r>
    </w:p>
    <w:p w14:paraId="09A7EBE3">
      <w:pPr>
        <w:spacing w:before="80" w:after="80" w:line="360" w:lineRule="auto"/>
        <w:ind w:firstLine="480"/>
        <w:jc w:val="both"/>
      </w:pPr>
      <w:r>
        <w:rPr>
          <w:rFonts w:ascii="Times New Roman" w:hAnsi="Times New Roman" w:eastAsia="宋体" w:cs="Times New Roman"/>
          <w:color w:val="000000"/>
          <w:sz w:val="24"/>
          <w:szCs w:val="24"/>
        </w:rPr>
        <w:t>项目地块总面积2.1万平方米，全平地布局。各功能分区规划如下表所示：</w:t>
      </w:r>
    </w:p>
    <w:p w14:paraId="5CA2A5AD">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2400"/>
        <w:gridCol w:w="1800"/>
        <w:gridCol w:w="1500"/>
        <w:gridCol w:w="3326"/>
      </w:tblGrid>
      <w:tr w14:paraId="699783A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2400" w:type="dxa"/>
            <w:tcBorders>
              <w:bottom w:val="single" w:color="000000" w:sz="6" w:space="0"/>
            </w:tcBorders>
            <w:vAlign w:val="center"/>
          </w:tcPr>
          <w:p w14:paraId="440EE1AA">
            <w:pPr>
              <w:spacing w:before="60" w:after="60"/>
              <w:jc w:val="center"/>
            </w:pPr>
            <w:r>
              <w:rPr>
                <w:rFonts w:ascii="Times New Roman" w:hAnsi="Times New Roman" w:eastAsia="宋体" w:cs="Times New Roman"/>
                <w:b/>
                <w:bCs/>
                <w:color w:val="000000"/>
                <w:sz w:val="22"/>
                <w:szCs w:val="22"/>
              </w:rPr>
              <w:t>功能分区</w:t>
            </w:r>
          </w:p>
        </w:tc>
        <w:tc>
          <w:tcPr>
            <w:tcW w:w="1800" w:type="dxa"/>
            <w:tcBorders>
              <w:bottom w:val="single" w:color="000000" w:sz="6" w:space="0"/>
            </w:tcBorders>
            <w:vAlign w:val="center"/>
          </w:tcPr>
          <w:p w14:paraId="1CFA7872">
            <w:pPr>
              <w:spacing w:before="60" w:after="60"/>
              <w:jc w:val="center"/>
            </w:pPr>
            <w:r>
              <w:rPr>
                <w:rFonts w:ascii="Times New Roman" w:hAnsi="Times New Roman" w:eastAsia="宋体" w:cs="Times New Roman"/>
                <w:b/>
                <w:bCs/>
                <w:color w:val="000000"/>
                <w:sz w:val="22"/>
                <w:szCs w:val="22"/>
              </w:rPr>
              <w:t>面积（㎡）</w:t>
            </w:r>
          </w:p>
        </w:tc>
        <w:tc>
          <w:tcPr>
            <w:tcW w:w="1500" w:type="dxa"/>
            <w:tcBorders>
              <w:bottom w:val="single" w:color="000000" w:sz="6" w:space="0"/>
            </w:tcBorders>
            <w:vAlign w:val="center"/>
          </w:tcPr>
          <w:p w14:paraId="68299ED3">
            <w:pPr>
              <w:spacing w:before="60" w:after="60"/>
              <w:jc w:val="center"/>
            </w:pPr>
            <w:r>
              <w:rPr>
                <w:rFonts w:ascii="Times New Roman" w:hAnsi="Times New Roman" w:eastAsia="宋体" w:cs="Times New Roman"/>
                <w:b/>
                <w:bCs/>
                <w:color w:val="000000"/>
                <w:sz w:val="22"/>
                <w:szCs w:val="22"/>
              </w:rPr>
              <w:t>占比</w:t>
            </w:r>
          </w:p>
        </w:tc>
        <w:tc>
          <w:tcPr>
            <w:tcW w:w="3326" w:type="dxa"/>
            <w:tcBorders>
              <w:bottom w:val="single" w:color="000000" w:sz="6" w:space="0"/>
            </w:tcBorders>
            <w:vAlign w:val="center"/>
          </w:tcPr>
          <w:p w14:paraId="06B4FBE2">
            <w:pPr>
              <w:spacing w:before="60" w:after="60"/>
              <w:jc w:val="center"/>
            </w:pPr>
            <w:r>
              <w:rPr>
                <w:rFonts w:ascii="Times New Roman" w:hAnsi="Times New Roman" w:eastAsia="宋体" w:cs="Times New Roman"/>
                <w:b/>
                <w:bCs/>
                <w:color w:val="000000"/>
                <w:sz w:val="22"/>
                <w:szCs w:val="22"/>
              </w:rPr>
              <w:t>功能说明</w:t>
            </w:r>
          </w:p>
        </w:tc>
      </w:tr>
      <w:tr w14:paraId="73DEDE34">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400" w:type="dxa"/>
            <w:tcBorders>
              <w:bottom w:val="single" w:color="000000" w:sz="4" w:space="0"/>
            </w:tcBorders>
            <w:vAlign w:val="center"/>
          </w:tcPr>
          <w:p w14:paraId="6FE9BB32">
            <w:pPr>
              <w:spacing w:before="50" w:after="50"/>
              <w:jc w:val="left"/>
            </w:pPr>
            <w:r>
              <w:rPr>
                <w:rFonts w:ascii="Times New Roman" w:hAnsi="Times New Roman" w:eastAsia="宋体" w:cs="Times New Roman"/>
                <w:b w:val="0"/>
                <w:bCs w:val="0"/>
                <w:color w:val="000000"/>
                <w:sz w:val="22"/>
                <w:szCs w:val="22"/>
              </w:rPr>
              <w:t>匹克球核心运动区</w:t>
            </w:r>
          </w:p>
        </w:tc>
        <w:tc>
          <w:tcPr>
            <w:tcW w:w="1800" w:type="dxa"/>
            <w:tcBorders>
              <w:bottom w:val="single" w:color="000000" w:sz="4" w:space="0"/>
            </w:tcBorders>
            <w:vAlign w:val="center"/>
          </w:tcPr>
          <w:p w14:paraId="2763A5D1">
            <w:pPr>
              <w:spacing w:before="50" w:after="50"/>
              <w:jc w:val="left"/>
            </w:pPr>
            <w:r>
              <w:rPr>
                <w:rFonts w:ascii="Times New Roman" w:hAnsi="Times New Roman" w:eastAsia="宋体" w:cs="Times New Roman"/>
                <w:b w:val="0"/>
                <w:bCs w:val="0"/>
                <w:color w:val="000000"/>
                <w:sz w:val="22"/>
                <w:szCs w:val="22"/>
              </w:rPr>
              <w:t>5,000-6,000</w:t>
            </w:r>
          </w:p>
        </w:tc>
        <w:tc>
          <w:tcPr>
            <w:tcW w:w="1500" w:type="dxa"/>
            <w:tcBorders>
              <w:bottom w:val="single" w:color="000000" w:sz="4" w:space="0"/>
            </w:tcBorders>
            <w:vAlign w:val="center"/>
          </w:tcPr>
          <w:p w14:paraId="1F12005F">
            <w:pPr>
              <w:spacing w:before="50" w:after="50"/>
              <w:jc w:val="left"/>
            </w:pPr>
            <w:r>
              <w:rPr>
                <w:rFonts w:ascii="Times New Roman" w:hAnsi="Times New Roman" w:eastAsia="宋体" w:cs="Times New Roman"/>
                <w:b w:val="0"/>
                <w:bCs w:val="0"/>
                <w:color w:val="000000"/>
                <w:sz w:val="22"/>
                <w:szCs w:val="22"/>
              </w:rPr>
              <w:t>24%-29%</w:t>
            </w:r>
          </w:p>
        </w:tc>
        <w:tc>
          <w:tcPr>
            <w:tcW w:w="3326" w:type="dxa"/>
            <w:tcBorders>
              <w:bottom w:val="single" w:color="000000" w:sz="4" w:space="0"/>
            </w:tcBorders>
            <w:vAlign w:val="center"/>
          </w:tcPr>
          <w:p w14:paraId="1388DEAF">
            <w:pPr>
              <w:spacing w:before="50" w:after="50"/>
              <w:jc w:val="left"/>
            </w:pPr>
            <w:r>
              <w:rPr>
                <w:rFonts w:ascii="Times New Roman" w:hAnsi="Times New Roman" w:eastAsia="宋体" w:cs="Times New Roman"/>
                <w:b w:val="0"/>
                <w:bCs w:val="0"/>
                <w:color w:val="000000"/>
                <w:sz w:val="22"/>
                <w:szCs w:val="22"/>
              </w:rPr>
              <w:t>18片标准匹克球场，含比赛级与训练级</w:t>
            </w:r>
          </w:p>
        </w:tc>
      </w:tr>
      <w:tr w14:paraId="0BEE85DD">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7364533A">
            <w:pPr>
              <w:spacing w:before="50" w:after="50"/>
              <w:jc w:val="left"/>
            </w:pPr>
            <w:r>
              <w:rPr>
                <w:rFonts w:ascii="Times New Roman" w:hAnsi="Times New Roman" w:eastAsia="宋体" w:cs="Times New Roman"/>
                <w:b w:val="0"/>
                <w:bCs w:val="0"/>
                <w:color w:val="000000"/>
                <w:sz w:val="22"/>
                <w:szCs w:val="22"/>
              </w:rPr>
              <w:t>网球运动区</w:t>
            </w:r>
          </w:p>
        </w:tc>
        <w:tc>
          <w:tcPr>
            <w:tcW w:w="1800" w:type="dxa"/>
            <w:tcBorders>
              <w:bottom w:val="single" w:color="000000" w:sz="4" w:space="0"/>
            </w:tcBorders>
            <w:vAlign w:val="center"/>
          </w:tcPr>
          <w:p w14:paraId="387479FD">
            <w:pPr>
              <w:spacing w:before="50" w:after="50"/>
              <w:jc w:val="left"/>
            </w:pPr>
            <w:r>
              <w:rPr>
                <w:rFonts w:ascii="Times New Roman" w:hAnsi="Times New Roman" w:eastAsia="宋体" w:cs="Times New Roman"/>
                <w:b w:val="0"/>
                <w:bCs w:val="0"/>
                <w:color w:val="000000"/>
                <w:sz w:val="22"/>
                <w:szCs w:val="22"/>
              </w:rPr>
              <w:t>3,000</w:t>
            </w:r>
          </w:p>
        </w:tc>
        <w:tc>
          <w:tcPr>
            <w:tcW w:w="1500" w:type="dxa"/>
            <w:tcBorders>
              <w:bottom w:val="single" w:color="000000" w:sz="4" w:space="0"/>
            </w:tcBorders>
            <w:vAlign w:val="center"/>
          </w:tcPr>
          <w:p w14:paraId="17174C51">
            <w:pPr>
              <w:spacing w:before="50" w:after="50"/>
              <w:jc w:val="left"/>
            </w:pPr>
            <w:r>
              <w:rPr>
                <w:rFonts w:ascii="Times New Roman" w:hAnsi="Times New Roman" w:eastAsia="宋体" w:cs="Times New Roman"/>
                <w:b w:val="0"/>
                <w:bCs w:val="0"/>
                <w:color w:val="000000"/>
                <w:sz w:val="22"/>
                <w:szCs w:val="22"/>
              </w:rPr>
              <w:t>14%</w:t>
            </w:r>
          </w:p>
        </w:tc>
        <w:tc>
          <w:tcPr>
            <w:tcW w:w="3326" w:type="dxa"/>
            <w:tcBorders>
              <w:bottom w:val="single" w:color="000000" w:sz="4" w:space="0"/>
            </w:tcBorders>
            <w:vAlign w:val="center"/>
          </w:tcPr>
          <w:p w14:paraId="7F90D025">
            <w:pPr>
              <w:spacing w:before="50" w:after="50"/>
              <w:jc w:val="left"/>
            </w:pPr>
            <w:r>
              <w:rPr>
                <w:rFonts w:ascii="Times New Roman" w:hAnsi="Times New Roman" w:eastAsia="宋体" w:cs="Times New Roman"/>
                <w:b w:val="0"/>
                <w:bCs w:val="0"/>
                <w:color w:val="000000"/>
                <w:sz w:val="22"/>
                <w:szCs w:val="22"/>
              </w:rPr>
              <w:t>6块标准网球场</w:t>
            </w:r>
          </w:p>
        </w:tc>
      </w:tr>
      <w:tr w14:paraId="266C36E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36BFFE0B">
            <w:pPr>
              <w:spacing w:before="50" w:after="50"/>
              <w:jc w:val="left"/>
            </w:pPr>
            <w:r>
              <w:rPr>
                <w:rFonts w:ascii="Times New Roman" w:hAnsi="Times New Roman" w:eastAsia="宋体" w:cs="Times New Roman"/>
                <w:b w:val="0"/>
                <w:bCs w:val="0"/>
                <w:color w:val="000000"/>
                <w:sz w:val="22"/>
                <w:szCs w:val="22"/>
              </w:rPr>
              <w:t>综合服务区</w:t>
            </w:r>
          </w:p>
        </w:tc>
        <w:tc>
          <w:tcPr>
            <w:tcW w:w="1800" w:type="dxa"/>
            <w:tcBorders>
              <w:bottom w:val="single" w:color="000000" w:sz="4" w:space="0"/>
            </w:tcBorders>
            <w:vAlign w:val="center"/>
          </w:tcPr>
          <w:p w14:paraId="5351577B">
            <w:pPr>
              <w:spacing w:before="50" w:after="50"/>
              <w:jc w:val="left"/>
            </w:pPr>
            <w:r>
              <w:rPr>
                <w:rFonts w:ascii="Times New Roman" w:hAnsi="Times New Roman" w:eastAsia="宋体" w:cs="Times New Roman"/>
                <w:b w:val="0"/>
                <w:bCs w:val="0"/>
                <w:color w:val="000000"/>
                <w:sz w:val="22"/>
                <w:szCs w:val="22"/>
              </w:rPr>
              <w:t>1,500-2,000</w:t>
            </w:r>
          </w:p>
        </w:tc>
        <w:tc>
          <w:tcPr>
            <w:tcW w:w="1500" w:type="dxa"/>
            <w:tcBorders>
              <w:bottom w:val="single" w:color="000000" w:sz="4" w:space="0"/>
            </w:tcBorders>
            <w:vAlign w:val="center"/>
          </w:tcPr>
          <w:p w14:paraId="4E72DED4">
            <w:pPr>
              <w:spacing w:before="50" w:after="50"/>
              <w:jc w:val="left"/>
            </w:pPr>
            <w:r>
              <w:rPr>
                <w:rFonts w:ascii="Times New Roman" w:hAnsi="Times New Roman" w:eastAsia="宋体" w:cs="Times New Roman"/>
                <w:b w:val="0"/>
                <w:bCs w:val="0"/>
                <w:color w:val="000000"/>
                <w:sz w:val="22"/>
                <w:szCs w:val="22"/>
              </w:rPr>
              <w:t>7%-10%</w:t>
            </w:r>
          </w:p>
        </w:tc>
        <w:tc>
          <w:tcPr>
            <w:tcW w:w="3326" w:type="dxa"/>
            <w:tcBorders>
              <w:bottom w:val="single" w:color="000000" w:sz="4" w:space="0"/>
            </w:tcBorders>
            <w:vAlign w:val="center"/>
          </w:tcPr>
          <w:p w14:paraId="2F09FEA2">
            <w:pPr>
              <w:spacing w:before="50" w:after="50"/>
              <w:jc w:val="left"/>
            </w:pPr>
            <w:r>
              <w:rPr>
                <w:rFonts w:ascii="Times New Roman" w:hAnsi="Times New Roman" w:eastAsia="宋体" w:cs="Times New Roman"/>
                <w:b w:val="0"/>
                <w:bCs w:val="0"/>
                <w:color w:val="000000"/>
                <w:sz w:val="22"/>
                <w:szCs w:val="22"/>
              </w:rPr>
              <w:t>咖啡轻食、音乐驿站、更衣淋浴</w:t>
            </w:r>
          </w:p>
        </w:tc>
      </w:tr>
      <w:tr w14:paraId="75F61654">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06F92529">
            <w:pPr>
              <w:spacing w:before="50" w:after="50"/>
              <w:jc w:val="left"/>
            </w:pPr>
            <w:r>
              <w:rPr>
                <w:rFonts w:ascii="Times New Roman" w:hAnsi="Times New Roman" w:eastAsia="宋体" w:cs="Times New Roman"/>
                <w:b w:val="0"/>
                <w:bCs w:val="0"/>
                <w:color w:val="000000"/>
                <w:sz w:val="22"/>
                <w:szCs w:val="22"/>
              </w:rPr>
              <w:t>多功能停车场</w:t>
            </w:r>
          </w:p>
        </w:tc>
        <w:tc>
          <w:tcPr>
            <w:tcW w:w="1800" w:type="dxa"/>
            <w:tcBorders>
              <w:bottom w:val="single" w:color="000000" w:sz="4" w:space="0"/>
            </w:tcBorders>
            <w:vAlign w:val="center"/>
          </w:tcPr>
          <w:p w14:paraId="2BB567FE">
            <w:pPr>
              <w:spacing w:before="50" w:after="50"/>
              <w:jc w:val="left"/>
            </w:pPr>
            <w:r>
              <w:rPr>
                <w:rFonts w:ascii="Times New Roman" w:hAnsi="Times New Roman" w:eastAsia="宋体" w:cs="Times New Roman"/>
                <w:b w:val="0"/>
                <w:bCs w:val="0"/>
                <w:color w:val="000000"/>
                <w:sz w:val="22"/>
                <w:szCs w:val="22"/>
              </w:rPr>
              <w:t>1,500-2,000</w:t>
            </w:r>
          </w:p>
        </w:tc>
        <w:tc>
          <w:tcPr>
            <w:tcW w:w="1500" w:type="dxa"/>
            <w:tcBorders>
              <w:bottom w:val="single" w:color="000000" w:sz="4" w:space="0"/>
            </w:tcBorders>
            <w:vAlign w:val="center"/>
          </w:tcPr>
          <w:p w14:paraId="0033BED2">
            <w:pPr>
              <w:spacing w:before="50" w:after="50"/>
              <w:jc w:val="left"/>
            </w:pPr>
            <w:r>
              <w:rPr>
                <w:rFonts w:ascii="Times New Roman" w:hAnsi="Times New Roman" w:eastAsia="宋体" w:cs="Times New Roman"/>
                <w:b w:val="0"/>
                <w:bCs w:val="0"/>
                <w:color w:val="000000"/>
                <w:sz w:val="22"/>
                <w:szCs w:val="22"/>
              </w:rPr>
              <w:t>7%-10%</w:t>
            </w:r>
          </w:p>
        </w:tc>
        <w:tc>
          <w:tcPr>
            <w:tcW w:w="3326" w:type="dxa"/>
            <w:tcBorders>
              <w:bottom w:val="single" w:color="000000" w:sz="4" w:space="0"/>
            </w:tcBorders>
            <w:vAlign w:val="center"/>
          </w:tcPr>
          <w:p w14:paraId="3D5E6270">
            <w:pPr>
              <w:spacing w:before="50" w:after="50"/>
              <w:jc w:val="left"/>
            </w:pPr>
            <w:r>
              <w:rPr>
                <w:rFonts w:ascii="Times New Roman" w:hAnsi="Times New Roman" w:eastAsia="宋体" w:cs="Times New Roman"/>
                <w:b w:val="0"/>
                <w:bCs w:val="0"/>
                <w:color w:val="000000"/>
                <w:sz w:val="22"/>
                <w:szCs w:val="22"/>
              </w:rPr>
              <w:t>日常及赛事停车</w:t>
            </w:r>
          </w:p>
        </w:tc>
      </w:tr>
      <w:tr w14:paraId="3A81DEB0">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400" w:type="dxa"/>
            <w:tcBorders>
              <w:bottom w:val="single" w:color="000000" w:sz="4" w:space="0"/>
            </w:tcBorders>
            <w:vAlign w:val="center"/>
          </w:tcPr>
          <w:p w14:paraId="4F26A629">
            <w:pPr>
              <w:spacing w:before="50" w:after="50"/>
              <w:jc w:val="left"/>
            </w:pPr>
            <w:r>
              <w:rPr>
                <w:rFonts w:ascii="Times New Roman" w:hAnsi="Times New Roman" w:eastAsia="宋体" w:cs="Times New Roman"/>
                <w:b w:val="0"/>
                <w:bCs w:val="0"/>
                <w:color w:val="000000"/>
                <w:sz w:val="22"/>
                <w:szCs w:val="22"/>
              </w:rPr>
              <w:t>婚纱/旅拍景观区</w:t>
            </w:r>
          </w:p>
        </w:tc>
        <w:tc>
          <w:tcPr>
            <w:tcW w:w="1800" w:type="dxa"/>
            <w:tcBorders>
              <w:bottom w:val="single" w:color="000000" w:sz="4" w:space="0"/>
            </w:tcBorders>
            <w:vAlign w:val="center"/>
          </w:tcPr>
          <w:p w14:paraId="71F03EA0">
            <w:pPr>
              <w:spacing w:before="50" w:after="50"/>
              <w:jc w:val="left"/>
            </w:pPr>
            <w:r>
              <w:rPr>
                <w:rFonts w:ascii="Times New Roman" w:hAnsi="Times New Roman" w:eastAsia="宋体" w:cs="Times New Roman"/>
                <w:b w:val="0"/>
                <w:bCs w:val="0"/>
                <w:color w:val="000000"/>
                <w:sz w:val="22"/>
                <w:szCs w:val="22"/>
              </w:rPr>
              <w:t>2,000-3,000</w:t>
            </w:r>
          </w:p>
        </w:tc>
        <w:tc>
          <w:tcPr>
            <w:tcW w:w="1500" w:type="dxa"/>
            <w:tcBorders>
              <w:bottom w:val="single" w:color="000000" w:sz="4" w:space="0"/>
            </w:tcBorders>
            <w:vAlign w:val="center"/>
          </w:tcPr>
          <w:p w14:paraId="3934FA5E">
            <w:pPr>
              <w:spacing w:before="50" w:after="50"/>
              <w:jc w:val="left"/>
            </w:pPr>
            <w:r>
              <w:rPr>
                <w:rFonts w:ascii="Times New Roman" w:hAnsi="Times New Roman" w:eastAsia="宋体" w:cs="Times New Roman"/>
                <w:b w:val="0"/>
                <w:bCs w:val="0"/>
                <w:color w:val="000000"/>
                <w:sz w:val="22"/>
                <w:szCs w:val="22"/>
              </w:rPr>
              <w:t>10%-14%</w:t>
            </w:r>
          </w:p>
        </w:tc>
        <w:tc>
          <w:tcPr>
            <w:tcW w:w="3326" w:type="dxa"/>
            <w:tcBorders>
              <w:bottom w:val="single" w:color="000000" w:sz="4" w:space="0"/>
            </w:tcBorders>
            <w:vAlign w:val="center"/>
          </w:tcPr>
          <w:p w14:paraId="0DEB1980">
            <w:pPr>
              <w:spacing w:before="50" w:after="50"/>
              <w:jc w:val="left"/>
            </w:pPr>
            <w:r>
              <w:rPr>
                <w:rFonts w:ascii="Times New Roman" w:hAnsi="Times New Roman" w:eastAsia="宋体" w:cs="Times New Roman"/>
                <w:b w:val="0"/>
                <w:bCs w:val="0"/>
                <w:color w:val="000000"/>
                <w:sz w:val="22"/>
                <w:szCs w:val="22"/>
              </w:rPr>
              <w:t>打卡景观节点、拍摄场地</w:t>
            </w:r>
          </w:p>
        </w:tc>
      </w:tr>
      <w:tr w14:paraId="1736C105">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1309DBFC">
            <w:pPr>
              <w:spacing w:before="50" w:after="50"/>
              <w:jc w:val="left"/>
            </w:pPr>
            <w:r>
              <w:rPr>
                <w:rFonts w:ascii="Times New Roman" w:hAnsi="Times New Roman" w:eastAsia="宋体" w:cs="Times New Roman"/>
                <w:b w:val="0"/>
                <w:bCs w:val="0"/>
                <w:color w:val="000000"/>
                <w:sz w:val="22"/>
                <w:szCs w:val="22"/>
              </w:rPr>
              <w:t>公共绿地及缓冲带</w:t>
            </w:r>
          </w:p>
        </w:tc>
        <w:tc>
          <w:tcPr>
            <w:tcW w:w="1800" w:type="dxa"/>
            <w:tcBorders>
              <w:bottom w:val="single" w:color="000000" w:sz="4" w:space="0"/>
            </w:tcBorders>
            <w:vAlign w:val="center"/>
          </w:tcPr>
          <w:p w14:paraId="0C764070">
            <w:pPr>
              <w:spacing w:before="50" w:after="50"/>
              <w:jc w:val="left"/>
            </w:pPr>
            <w:r>
              <w:rPr>
                <w:rFonts w:ascii="Times New Roman" w:hAnsi="Times New Roman" w:eastAsia="宋体" w:cs="Times New Roman"/>
                <w:b w:val="0"/>
                <w:bCs w:val="0"/>
                <w:color w:val="000000"/>
                <w:sz w:val="22"/>
                <w:szCs w:val="22"/>
              </w:rPr>
              <w:t>3,000-4,000</w:t>
            </w:r>
          </w:p>
        </w:tc>
        <w:tc>
          <w:tcPr>
            <w:tcW w:w="1500" w:type="dxa"/>
            <w:tcBorders>
              <w:bottom w:val="single" w:color="000000" w:sz="4" w:space="0"/>
            </w:tcBorders>
            <w:vAlign w:val="center"/>
          </w:tcPr>
          <w:p w14:paraId="3FEB2627">
            <w:pPr>
              <w:spacing w:before="50" w:after="50"/>
              <w:jc w:val="left"/>
            </w:pPr>
            <w:r>
              <w:rPr>
                <w:rFonts w:ascii="Times New Roman" w:hAnsi="Times New Roman" w:eastAsia="宋体" w:cs="Times New Roman"/>
                <w:b w:val="0"/>
                <w:bCs w:val="0"/>
                <w:color w:val="000000"/>
                <w:sz w:val="22"/>
                <w:szCs w:val="22"/>
              </w:rPr>
              <w:t>14%-19%</w:t>
            </w:r>
          </w:p>
        </w:tc>
        <w:tc>
          <w:tcPr>
            <w:tcW w:w="3326" w:type="dxa"/>
            <w:tcBorders>
              <w:bottom w:val="single" w:color="000000" w:sz="4" w:space="0"/>
            </w:tcBorders>
            <w:vAlign w:val="center"/>
          </w:tcPr>
          <w:p w14:paraId="248747D7">
            <w:pPr>
              <w:spacing w:before="50" w:after="50"/>
              <w:jc w:val="left"/>
            </w:pPr>
            <w:r>
              <w:rPr>
                <w:rFonts w:ascii="Times New Roman" w:hAnsi="Times New Roman" w:eastAsia="宋体" w:cs="Times New Roman"/>
                <w:b w:val="0"/>
                <w:bCs w:val="0"/>
                <w:color w:val="000000"/>
                <w:sz w:val="22"/>
                <w:szCs w:val="22"/>
              </w:rPr>
              <w:t>保持公园绿地属性</w:t>
            </w:r>
          </w:p>
        </w:tc>
      </w:tr>
    </w:tbl>
    <w:p w14:paraId="78CB7045">
      <w:pPr>
        <w:spacing w:before="60" w:after="160"/>
      </w:pPr>
    </w:p>
    <w:p w14:paraId="79D03A66">
      <w:pPr>
        <w:pStyle w:val="3"/>
        <w:keepNext/>
        <w:keepLines/>
      </w:pPr>
      <w:r>
        <w:t>3.2 非永久性建设方案</w:t>
      </w:r>
    </w:p>
    <w:p w14:paraId="2A2F113F">
      <w:pPr>
        <w:spacing w:before="80" w:after="80" w:line="360" w:lineRule="auto"/>
        <w:ind w:firstLine="480"/>
        <w:jc w:val="both"/>
      </w:pPr>
      <w:r>
        <w:rPr>
          <w:rFonts w:ascii="Times New Roman" w:hAnsi="Times New Roman" w:eastAsia="宋体" w:cs="Times New Roman"/>
          <w:color w:val="000000"/>
          <w:sz w:val="24"/>
          <w:szCs w:val="24"/>
        </w:rPr>
        <w:t>项目用地属性为公园绿地（G1），因此全部建设采用可拆卸、可恢复的非永久性方式，确保对土地零破坏。</w:t>
      </w:r>
    </w:p>
    <w:p w14:paraId="78E9539A">
      <w:pPr>
        <w:spacing w:before="80" w:after="80" w:line="360" w:lineRule="auto"/>
        <w:ind w:firstLine="480"/>
        <w:jc w:val="both"/>
      </w:pPr>
      <w:r>
        <w:rPr>
          <w:rFonts w:ascii="Times New Roman" w:hAnsi="Times New Roman" w:eastAsia="宋体" w:cs="Times New Roman"/>
          <w:color w:val="000000"/>
          <w:sz w:val="24"/>
          <w:szCs w:val="24"/>
        </w:rPr>
        <w:t>匹克球场采用装配式篷房结构，铝合金框架，无混凝土基础，拆卸回收率可达95%以上。配套设施采用集装箱模块与膜结构组合，完全可拆卸迁移。基础设施采用地面走线和配重式灯杆，非直埋方式，可在合约到期后完全恢复原状。</w:t>
      </w:r>
    </w:p>
    <w:p w14:paraId="26930F98">
      <w:pPr>
        <w:spacing w:before="80" w:after="80" w:line="360" w:lineRule="auto"/>
        <w:ind w:firstLine="480"/>
        <w:jc w:val="both"/>
      </w:pPr>
      <w:r>
        <w:rPr>
          <w:rFonts w:ascii="Times New Roman" w:hAnsi="Times New Roman" w:eastAsia="宋体" w:cs="Times New Roman"/>
          <w:color w:val="000000"/>
          <w:sz w:val="24"/>
          <w:szCs w:val="24"/>
        </w:rPr>
        <w:t>建设周期短、效率高：首批场地30-45天即可投入运营。整个建设方案既满足了体育运动的场地需求，又完全尊重了公园绿地的用地属性，实现了功能与合规的完美统一。</w:t>
      </w:r>
    </w:p>
    <w:p w14:paraId="23226C6E">
      <w:pPr>
        <w:pStyle w:val="3"/>
        <w:keepNext/>
        <w:keepLines/>
      </w:pPr>
      <w:r>
        <w:t>3.3 运营体系</w:t>
      </w:r>
    </w:p>
    <w:p w14:paraId="225B7C81">
      <w:pPr>
        <w:spacing w:before="80" w:after="80" w:line="360" w:lineRule="auto"/>
        <w:ind w:firstLine="480"/>
        <w:jc w:val="both"/>
      </w:pPr>
      <w:r>
        <w:rPr>
          <w:rFonts w:ascii="Times New Roman" w:hAnsi="Times New Roman" w:eastAsia="宋体" w:cs="Times New Roman"/>
          <w:color w:val="000000"/>
          <w:sz w:val="24"/>
          <w:szCs w:val="24"/>
        </w:rPr>
        <w:t>项目将构建五位一体的运营体系：</w:t>
      </w:r>
    </w:p>
    <w:p w14:paraId="14E15C1B">
      <w:pPr>
        <w:spacing w:before="80" w:after="80" w:line="360" w:lineRule="auto"/>
        <w:ind w:firstLine="480"/>
        <w:jc w:val="both"/>
      </w:pPr>
      <w:r>
        <w:rPr>
          <w:rFonts w:ascii="Times New Roman" w:hAnsi="Times New Roman" w:eastAsia="宋体" w:cs="Times New Roman"/>
          <w:color w:val="000000"/>
          <w:sz w:val="24"/>
          <w:szCs w:val="24"/>
        </w:rPr>
        <w:t>日常运营方面，建立完善的场地预约系统、散客接待流程和会员管理体系，确保日常经营的稳定高效。培训体系覆盖青少年培训、成人培训和企业团建三大板块，培养运动人群的同时创造稳定收入。赛事体系包括承办CPC巡回赛分站、市级和区级赛事，以及自主打造IP赛事品牌。</w:t>
      </w:r>
    </w:p>
    <w:p w14:paraId="1C2C7FD9">
      <w:pPr>
        <w:spacing w:before="80" w:after="80" w:line="360" w:lineRule="auto"/>
        <w:ind w:firstLine="480"/>
        <w:jc w:val="both"/>
      </w:pPr>
      <w:r>
        <w:rPr>
          <w:rFonts w:ascii="Times New Roman" w:hAnsi="Times New Roman" w:eastAsia="宋体" w:cs="Times New Roman"/>
          <w:color w:val="000000"/>
          <w:sz w:val="24"/>
          <w:szCs w:val="24"/>
        </w:rPr>
        <w:t>社交运营方面，建立匹克球社群、组织主题赛事和节日活动，形成运动社交生态圈。复合消费方面，打造咖啡轻食加运动加社交的一站式体验，提升客单价和用户黏性。</w:t>
      </w:r>
    </w:p>
    <w:p w14:paraId="6B1DE1F7">
      <w:pPr>
        <w:pStyle w:val="2"/>
        <w:keepNext/>
        <w:keepLines/>
      </w:pPr>
      <w:r>
        <w:t>第四章 社会价值</w:t>
      </w:r>
    </w:p>
    <w:p w14:paraId="63644289">
      <w:pPr>
        <w:spacing w:before="80" w:after="80" w:line="360" w:lineRule="auto"/>
        <w:ind w:firstLine="480"/>
        <w:jc w:val="both"/>
      </w:pPr>
      <w:r>
        <w:rPr>
          <w:rFonts w:ascii="Times New Roman" w:hAnsi="Times New Roman" w:eastAsia="宋体" w:cs="Times New Roman"/>
          <w:color w:val="000000"/>
          <w:sz w:val="24"/>
          <w:szCs w:val="24"/>
        </w:rPr>
        <w:t>本章重点阐述项目对南山管委会及南岸区发展的社会价值，是面向政府决策者的核心章节。</w:t>
      </w:r>
    </w:p>
    <w:p w14:paraId="18C39905">
      <w:pPr>
        <w:pStyle w:val="3"/>
        <w:keepNext/>
        <w:keepLines/>
      </w:pPr>
      <w:r>
        <w:t>4.1 落实全民健身国家战略</w:t>
      </w:r>
    </w:p>
    <w:p w14:paraId="0D051949">
      <w:pPr>
        <w:spacing w:before="80" w:after="80" w:line="360" w:lineRule="auto"/>
        <w:ind w:firstLine="480"/>
        <w:jc w:val="both"/>
      </w:pPr>
      <w:r>
        <w:rPr>
          <w:rFonts w:ascii="Times New Roman" w:hAnsi="Times New Roman" w:eastAsia="宋体" w:cs="Times New Roman"/>
          <w:color w:val="000000"/>
          <w:sz w:val="24"/>
          <w:szCs w:val="24"/>
        </w:rPr>
        <w:t>匹克球已成为全民健身大赛规定项目，本项目的落地将直接响应国务院《全民健身计划》的战略部署。项目建成后，将直接增加南岸区公共体育设施供给，为周边居民和南山游客提供高品质的运动空间。</w:t>
      </w:r>
    </w:p>
    <w:p w14:paraId="272D3F68">
      <w:pPr>
        <w:spacing w:before="80" w:after="80" w:line="360" w:lineRule="auto"/>
        <w:ind w:firstLine="480"/>
        <w:jc w:val="both"/>
      </w:pPr>
      <w:r>
        <w:rPr>
          <w:rFonts w:ascii="Times New Roman" w:hAnsi="Times New Roman" w:eastAsia="宋体" w:cs="Times New Roman"/>
          <w:color w:val="000000"/>
          <w:sz w:val="24"/>
          <w:szCs w:val="24"/>
        </w:rPr>
        <w:t>匹克球运动“三低三高”的特点使其特别适合全年龄段人群参与，从青少年到中老年人都能轻松上手。项目将设置惠民时段和公益培训，让更多市民享受到这一新兴运动的乐趣，切实推动全民健身事业在基层落地生根。</w:t>
      </w:r>
    </w:p>
    <w:p w14:paraId="55438551">
      <w:pPr>
        <w:pStyle w:val="3"/>
        <w:keepNext/>
        <w:keepLines/>
      </w:pPr>
      <w:r>
        <w:t>4.2 助力南山“高质量户外运动目的地”建设</w:t>
      </w:r>
    </w:p>
    <w:p w14:paraId="3160C02D">
      <w:pPr>
        <w:spacing w:before="80" w:after="80" w:line="360" w:lineRule="auto"/>
        <w:ind w:firstLine="480"/>
        <w:jc w:val="both"/>
      </w:pPr>
      <w:r>
        <w:rPr>
          <w:rFonts w:ascii="Times New Roman" w:hAnsi="Times New Roman" w:eastAsia="宋体" w:cs="Times New Roman"/>
          <w:color w:val="000000"/>
          <w:sz w:val="24"/>
          <w:szCs w:val="24"/>
        </w:rPr>
        <w:t>本项目直接对标南岸区委、区政府“将南山打造成为重庆主城旅游休闲首选地、高质量户外运动目的地”的战略部署。项目填补了南山片区专业户外运动设施的空白，将成为南山户外运动产业的重要支撑。</w:t>
      </w:r>
    </w:p>
    <w:p w14:paraId="74B2B5C0">
      <w:pPr>
        <w:spacing w:before="80" w:after="80" w:line="360" w:lineRule="auto"/>
        <w:ind w:firstLine="480"/>
        <w:jc w:val="both"/>
      </w:pPr>
      <w:r>
        <w:rPr>
          <w:rFonts w:ascii="Times New Roman" w:hAnsi="Times New Roman" w:eastAsia="宋体" w:cs="Times New Roman"/>
          <w:color w:val="000000"/>
          <w:sz w:val="24"/>
          <w:szCs w:val="24"/>
        </w:rPr>
        <w:t>匹克球作为当前增长最快的运动项目之一，具有极强的话题性和引流能力。项目的落地将为南山注入新的运动活力，与现有文旅资源形成互补，共同构建南山户外运动目的地的品牌矩阵。</w:t>
      </w:r>
    </w:p>
    <w:p w14:paraId="01EDE246">
      <w:pPr>
        <w:pStyle w:val="3"/>
        <w:keepNext/>
        <w:keepLines/>
      </w:pPr>
      <w:r>
        <w:t>4.3 提升城市形象，盘活闲置土地</w:t>
      </w:r>
    </w:p>
    <w:p w14:paraId="607FDC3C">
      <w:pPr>
        <w:spacing w:before="80" w:after="80" w:line="360" w:lineRule="auto"/>
        <w:ind w:firstLine="480"/>
        <w:jc w:val="both"/>
      </w:pPr>
      <w:r>
        <w:rPr>
          <w:rFonts w:ascii="Times New Roman" w:hAnsi="Times New Roman" w:eastAsia="宋体" w:cs="Times New Roman"/>
          <w:color w:val="000000"/>
          <w:sz w:val="24"/>
          <w:szCs w:val="24"/>
        </w:rPr>
        <w:t>项目地块现状为长期闲置，杂草丛生、围挡多年，对向黄路主干道沿线的城市形象造成负面影响。改造后，该地块将变身为现代化的匹克球运动公园，成为南山门户位置的景观窗口。</w:t>
      </w:r>
    </w:p>
    <w:p w14:paraId="1DD028D3">
      <w:pPr>
        <w:spacing w:before="80" w:after="80" w:line="360" w:lineRule="auto"/>
        <w:ind w:firstLine="480"/>
        <w:jc w:val="both"/>
      </w:pPr>
      <w:r>
        <w:rPr>
          <w:rFonts w:ascii="Times New Roman" w:hAnsi="Times New Roman" w:eastAsia="宋体" w:cs="Times New Roman"/>
          <w:color w:val="000000"/>
          <w:sz w:val="24"/>
          <w:szCs w:val="24"/>
        </w:rPr>
        <w:t>这一转变不仅提升了区域城市品质，也为重庆市公园绿地活化利用提供了创新示范。通过非永久性建设方式，在保护公园绿地属性的前提下，实现了闲置土地的高效利用，为类似地块的开发提供了可复制的经验。</w:t>
      </w:r>
    </w:p>
    <w:p w14:paraId="226965F3">
      <w:pPr>
        <w:pStyle w:val="3"/>
        <w:keepNext/>
        <w:keepLines/>
      </w:pPr>
      <w:r>
        <w:t>4.4 带动就业与人才培养</w:t>
      </w:r>
    </w:p>
    <w:p w14:paraId="39C739B5">
      <w:pPr>
        <w:spacing w:before="80" w:after="80" w:line="360" w:lineRule="auto"/>
        <w:ind w:firstLine="480"/>
        <w:jc w:val="both"/>
      </w:pPr>
      <w:r>
        <w:rPr>
          <w:rFonts w:ascii="Times New Roman" w:hAnsi="Times New Roman" w:eastAsia="宋体" w:cs="Times New Roman"/>
          <w:color w:val="000000"/>
          <w:sz w:val="24"/>
          <w:szCs w:val="24"/>
        </w:rPr>
        <w:t>项目直接就业需求包括：运营管理团队、专业匹克球教练、网球教练、餐饮服务人员和场地维护人员，预计直接创造就业岗位30-50个。间接就业方面，项目的运营将带动周边餐饮、交通、零售等配套产业的发展。</w:t>
      </w:r>
    </w:p>
    <w:p w14:paraId="1CE71741">
      <w:pPr>
        <w:spacing w:before="80" w:after="80" w:line="360" w:lineRule="auto"/>
        <w:ind w:firstLine="480"/>
        <w:jc w:val="both"/>
      </w:pPr>
      <w:r>
        <w:rPr>
          <w:rFonts w:ascii="Times New Roman" w:hAnsi="Times New Roman" w:eastAsia="宋体" w:cs="Times New Roman"/>
          <w:color w:val="000000"/>
          <w:sz w:val="24"/>
          <w:szCs w:val="24"/>
        </w:rPr>
        <w:t>青少年匹克球培训项目还将为重庆市培养体育后备人才。通过与学校和教育部门的合作，建立青少年匹克球培训基地，为有天赋的年轻运动员提供系统化的训练通道。</w:t>
      </w:r>
    </w:p>
    <w:p w14:paraId="164646EC">
      <w:pPr>
        <w:pStyle w:val="3"/>
        <w:keepNext/>
        <w:keepLines/>
      </w:pPr>
      <w:r>
        <w:t>4.5 促进体旅融合，丰富文旅供给</w:t>
      </w:r>
    </w:p>
    <w:p w14:paraId="261D8426">
      <w:pPr>
        <w:spacing w:before="80" w:after="80" w:line="360" w:lineRule="auto"/>
        <w:ind w:firstLine="480"/>
        <w:jc w:val="both"/>
      </w:pPr>
      <w:r>
        <w:rPr>
          <w:rFonts w:ascii="Times New Roman" w:hAnsi="Times New Roman" w:eastAsia="宋体" w:cs="Times New Roman"/>
          <w:color w:val="000000"/>
          <w:sz w:val="24"/>
          <w:szCs w:val="24"/>
        </w:rPr>
        <w:t>赛事引流方面，预计年均举办各类赛事活动20场以上，赛事期间将吸引大量参赛选手和观众，直接带动周边住宿、餐饮和交通消费。培训引流方面，年均培训学员预计达5000人次以上，形成稳定的客流基础。</w:t>
      </w:r>
    </w:p>
    <w:p w14:paraId="4F1823F9">
      <w:pPr>
        <w:spacing w:before="80" w:after="80" w:line="360" w:lineRule="auto"/>
        <w:ind w:firstLine="480"/>
        <w:jc w:val="both"/>
      </w:pPr>
      <w:r>
        <w:rPr>
          <w:rFonts w:ascii="Times New Roman" w:hAnsi="Times New Roman" w:eastAsia="宋体" w:cs="Times New Roman"/>
          <w:color w:val="000000"/>
          <w:sz w:val="24"/>
          <w:szCs w:val="24"/>
        </w:rPr>
        <w:t>项目将与南山现有文旅资源——南山一棵树、壹华里、火锅小镇等——形成联动，共同构建南山一日游、周末游的丰富产品体系。运动加美食加观光的组合，将有效提升游客在南山片区的停留时间和消费金额。</w:t>
      </w:r>
    </w:p>
    <w:p w14:paraId="6880B124">
      <w:pPr>
        <w:pStyle w:val="3"/>
        <w:keepNext/>
        <w:keepLines/>
      </w:pPr>
      <w:r>
        <w:t>4.6 创新用地模式示范</w:t>
      </w:r>
    </w:p>
    <w:p w14:paraId="520E8B06">
      <w:pPr>
        <w:spacing w:before="80" w:after="80" w:line="360" w:lineRule="auto"/>
        <w:ind w:firstLine="480"/>
        <w:jc w:val="both"/>
      </w:pPr>
      <w:r>
        <w:rPr>
          <w:rFonts w:ascii="Times New Roman" w:hAnsi="Times New Roman" w:eastAsia="宋体" w:cs="Times New Roman"/>
          <w:color w:val="000000"/>
          <w:sz w:val="24"/>
          <w:szCs w:val="24"/>
        </w:rPr>
        <w:t>本项目作为G1公园绿地非永久性建设的合规创新实践，将为重庆市公园绿地活化利用提供样板。通过采用装配式建筑和可拆卸设施，在不改变用地性质的前提下，实现了公共服务功能的有效供给。</w:t>
      </w:r>
    </w:p>
    <w:p w14:paraId="0BCC1451">
      <w:pPr>
        <w:spacing w:before="80" w:after="80" w:line="360" w:lineRule="auto"/>
        <w:ind w:firstLine="480"/>
        <w:jc w:val="both"/>
      </w:pPr>
      <w:r>
        <w:rPr>
          <w:rFonts w:ascii="Times New Roman" w:hAnsi="Times New Roman" w:eastAsia="宋体" w:cs="Times New Roman"/>
          <w:color w:val="000000"/>
          <w:sz w:val="24"/>
          <w:szCs w:val="24"/>
        </w:rPr>
        <w:t>这一模式的成功实践，将为重庆市乃至全国同类地块的开发提供可借鉴的经验，具有重要的示范意义和推广价值。</w:t>
      </w:r>
    </w:p>
    <w:p w14:paraId="5C0815A2">
      <w:pPr>
        <w:pStyle w:val="2"/>
        <w:keepNext/>
        <w:keepLines/>
      </w:pPr>
      <w:r>
        <w:t>第五章 经济价值</w:t>
      </w:r>
    </w:p>
    <w:p w14:paraId="393A81CD">
      <w:pPr>
        <w:spacing w:before="80" w:after="80" w:line="360" w:lineRule="auto"/>
        <w:ind w:firstLine="480"/>
        <w:jc w:val="both"/>
      </w:pPr>
      <w:r>
        <w:rPr>
          <w:rFonts w:ascii="Times New Roman" w:hAnsi="Times New Roman" w:eastAsia="宋体" w:cs="Times New Roman"/>
          <w:color w:val="000000"/>
          <w:sz w:val="24"/>
          <w:szCs w:val="24"/>
        </w:rPr>
        <w:t>本章从直接经济效益、间接经济效益和品牌溢出价值三个层面，系统分析项目的经济价值。</w:t>
      </w:r>
    </w:p>
    <w:p w14:paraId="7EEC7C7B">
      <w:pPr>
        <w:pStyle w:val="3"/>
        <w:keepNext/>
        <w:keepLines/>
      </w:pPr>
      <w:r>
        <w:t>5.1 直接经济效益</w:t>
      </w:r>
    </w:p>
    <w:p w14:paraId="13665DDA">
      <w:pPr>
        <w:spacing w:before="80" w:after="80" w:line="360" w:lineRule="auto"/>
        <w:ind w:firstLine="480"/>
        <w:jc w:val="both"/>
      </w:pPr>
      <w:r>
        <w:rPr>
          <w:rFonts w:ascii="Times New Roman" w:hAnsi="Times New Roman" w:eastAsia="宋体" w:cs="Times New Roman"/>
          <w:color w:val="000000"/>
          <w:sz w:val="24"/>
          <w:szCs w:val="24"/>
        </w:rPr>
        <w:t>项目年营收测算（保守估算）如下表所示：</w:t>
      </w:r>
    </w:p>
    <w:p w14:paraId="4EE44074">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2200"/>
        <w:gridCol w:w="2200"/>
        <w:gridCol w:w="4626"/>
      </w:tblGrid>
      <w:tr w14:paraId="24428169">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2200" w:type="dxa"/>
            <w:tcBorders>
              <w:bottom w:val="single" w:color="000000" w:sz="6" w:space="0"/>
            </w:tcBorders>
            <w:vAlign w:val="center"/>
          </w:tcPr>
          <w:p w14:paraId="3AAF6155">
            <w:pPr>
              <w:spacing w:before="60" w:after="60"/>
              <w:jc w:val="center"/>
            </w:pPr>
            <w:r>
              <w:rPr>
                <w:rFonts w:ascii="Times New Roman" w:hAnsi="Times New Roman" w:eastAsia="宋体" w:cs="Times New Roman"/>
                <w:b/>
                <w:bCs/>
                <w:color w:val="000000"/>
                <w:sz w:val="22"/>
                <w:szCs w:val="22"/>
              </w:rPr>
              <w:t>收入来源</w:t>
            </w:r>
          </w:p>
        </w:tc>
        <w:tc>
          <w:tcPr>
            <w:tcW w:w="2200" w:type="dxa"/>
            <w:tcBorders>
              <w:bottom w:val="single" w:color="000000" w:sz="6" w:space="0"/>
            </w:tcBorders>
            <w:vAlign w:val="center"/>
          </w:tcPr>
          <w:p w14:paraId="2498F4F9">
            <w:pPr>
              <w:spacing w:before="60" w:after="60"/>
              <w:jc w:val="center"/>
            </w:pPr>
            <w:r>
              <w:rPr>
                <w:rFonts w:ascii="Times New Roman" w:hAnsi="Times New Roman" w:eastAsia="宋体" w:cs="Times New Roman"/>
                <w:b/>
                <w:bCs/>
                <w:color w:val="000000"/>
                <w:sz w:val="22"/>
                <w:szCs w:val="22"/>
              </w:rPr>
              <w:t>年营收估算（万元）</w:t>
            </w:r>
          </w:p>
        </w:tc>
        <w:tc>
          <w:tcPr>
            <w:tcW w:w="4626" w:type="dxa"/>
            <w:tcBorders>
              <w:bottom w:val="single" w:color="000000" w:sz="6" w:space="0"/>
            </w:tcBorders>
            <w:vAlign w:val="center"/>
          </w:tcPr>
          <w:p w14:paraId="584F7FDA">
            <w:pPr>
              <w:spacing w:before="60" w:after="60"/>
              <w:jc w:val="center"/>
            </w:pPr>
            <w:r>
              <w:rPr>
                <w:rFonts w:ascii="Times New Roman" w:hAnsi="Times New Roman" w:eastAsia="宋体" w:cs="Times New Roman"/>
                <w:b/>
                <w:bCs/>
                <w:color w:val="000000"/>
                <w:sz w:val="22"/>
                <w:szCs w:val="22"/>
              </w:rPr>
              <w:t>说明</w:t>
            </w:r>
          </w:p>
        </w:tc>
      </w:tr>
      <w:tr w14:paraId="1B007DB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4EDFCC3C">
            <w:pPr>
              <w:spacing w:before="50" w:after="50"/>
              <w:jc w:val="left"/>
            </w:pPr>
            <w:r>
              <w:rPr>
                <w:rFonts w:ascii="Times New Roman" w:hAnsi="Times New Roman" w:eastAsia="宋体" w:cs="Times New Roman"/>
                <w:b w:val="0"/>
                <w:bCs w:val="0"/>
                <w:color w:val="000000"/>
                <w:sz w:val="22"/>
                <w:szCs w:val="22"/>
              </w:rPr>
              <w:t>匹克球场地服务</w:t>
            </w:r>
          </w:p>
        </w:tc>
        <w:tc>
          <w:tcPr>
            <w:tcW w:w="2200" w:type="dxa"/>
            <w:tcBorders>
              <w:bottom w:val="single" w:color="000000" w:sz="4" w:space="0"/>
            </w:tcBorders>
            <w:vAlign w:val="center"/>
          </w:tcPr>
          <w:p w14:paraId="18500427">
            <w:pPr>
              <w:spacing w:before="50" w:after="50"/>
              <w:jc w:val="left"/>
            </w:pPr>
            <w:r>
              <w:rPr>
                <w:rFonts w:ascii="Times New Roman" w:hAnsi="Times New Roman" w:eastAsia="宋体" w:cs="Times New Roman"/>
                <w:b w:val="0"/>
                <w:bCs w:val="0"/>
                <w:color w:val="000000"/>
                <w:sz w:val="22"/>
                <w:szCs w:val="22"/>
              </w:rPr>
              <w:t>100-120</w:t>
            </w:r>
          </w:p>
        </w:tc>
        <w:tc>
          <w:tcPr>
            <w:tcW w:w="4626" w:type="dxa"/>
            <w:tcBorders>
              <w:bottom w:val="single" w:color="000000" w:sz="4" w:space="0"/>
            </w:tcBorders>
            <w:vAlign w:val="center"/>
          </w:tcPr>
          <w:p w14:paraId="081A377D">
            <w:pPr>
              <w:spacing w:before="50" w:after="50"/>
              <w:jc w:val="left"/>
            </w:pPr>
            <w:r>
              <w:rPr>
                <w:rFonts w:ascii="Times New Roman" w:hAnsi="Times New Roman" w:eastAsia="宋体" w:cs="Times New Roman"/>
                <w:b w:val="0"/>
                <w:bCs w:val="0"/>
                <w:color w:val="000000"/>
                <w:sz w:val="22"/>
                <w:szCs w:val="22"/>
              </w:rPr>
              <w:t>18片场地，日均60%利用率，60-100元/小时</w:t>
            </w:r>
          </w:p>
        </w:tc>
      </w:tr>
      <w:tr w14:paraId="753D148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5FAB11CC">
            <w:pPr>
              <w:spacing w:before="50" w:after="50"/>
              <w:jc w:val="left"/>
            </w:pPr>
            <w:r>
              <w:rPr>
                <w:rFonts w:ascii="Times New Roman" w:hAnsi="Times New Roman" w:eastAsia="宋体" w:cs="Times New Roman"/>
                <w:b w:val="0"/>
                <w:bCs w:val="0"/>
                <w:color w:val="000000"/>
                <w:sz w:val="22"/>
                <w:szCs w:val="22"/>
              </w:rPr>
              <w:t>网球场地服务</w:t>
            </w:r>
          </w:p>
        </w:tc>
        <w:tc>
          <w:tcPr>
            <w:tcW w:w="2200" w:type="dxa"/>
            <w:tcBorders>
              <w:bottom w:val="single" w:color="000000" w:sz="4" w:space="0"/>
            </w:tcBorders>
            <w:vAlign w:val="center"/>
          </w:tcPr>
          <w:p w14:paraId="2E87EF78">
            <w:pPr>
              <w:spacing w:before="50" w:after="50"/>
              <w:jc w:val="left"/>
            </w:pPr>
            <w:r>
              <w:rPr>
                <w:rFonts w:ascii="Times New Roman" w:hAnsi="Times New Roman" w:eastAsia="宋体" w:cs="Times New Roman"/>
                <w:b w:val="0"/>
                <w:bCs w:val="0"/>
                <w:color w:val="000000"/>
                <w:sz w:val="22"/>
                <w:szCs w:val="22"/>
              </w:rPr>
              <w:t>30-40</w:t>
            </w:r>
          </w:p>
        </w:tc>
        <w:tc>
          <w:tcPr>
            <w:tcW w:w="4626" w:type="dxa"/>
            <w:tcBorders>
              <w:bottom w:val="single" w:color="000000" w:sz="4" w:space="0"/>
            </w:tcBorders>
            <w:vAlign w:val="center"/>
          </w:tcPr>
          <w:p w14:paraId="218F008D">
            <w:pPr>
              <w:spacing w:before="50" w:after="50"/>
              <w:jc w:val="left"/>
            </w:pPr>
            <w:r>
              <w:rPr>
                <w:rFonts w:ascii="Times New Roman" w:hAnsi="Times New Roman" w:eastAsia="宋体" w:cs="Times New Roman"/>
                <w:b w:val="0"/>
                <w:bCs w:val="0"/>
                <w:color w:val="000000"/>
                <w:sz w:val="22"/>
                <w:szCs w:val="22"/>
              </w:rPr>
              <w:t>6块场地</w:t>
            </w:r>
          </w:p>
        </w:tc>
      </w:tr>
      <w:tr w14:paraId="688BE30C">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200" w:type="dxa"/>
            <w:tcBorders>
              <w:bottom w:val="single" w:color="000000" w:sz="4" w:space="0"/>
            </w:tcBorders>
            <w:vAlign w:val="center"/>
          </w:tcPr>
          <w:p w14:paraId="49D8BA8A">
            <w:pPr>
              <w:spacing w:before="50" w:after="50"/>
              <w:jc w:val="left"/>
            </w:pPr>
            <w:r>
              <w:rPr>
                <w:rFonts w:ascii="Times New Roman" w:hAnsi="Times New Roman" w:eastAsia="宋体" w:cs="Times New Roman"/>
                <w:b w:val="0"/>
                <w:bCs w:val="0"/>
                <w:color w:val="000000"/>
                <w:sz w:val="22"/>
                <w:szCs w:val="22"/>
              </w:rPr>
              <w:t>培训收入</w:t>
            </w:r>
          </w:p>
        </w:tc>
        <w:tc>
          <w:tcPr>
            <w:tcW w:w="2200" w:type="dxa"/>
            <w:tcBorders>
              <w:bottom w:val="single" w:color="000000" w:sz="4" w:space="0"/>
            </w:tcBorders>
            <w:vAlign w:val="center"/>
          </w:tcPr>
          <w:p w14:paraId="08887791">
            <w:pPr>
              <w:spacing w:before="50" w:after="50"/>
              <w:jc w:val="left"/>
            </w:pPr>
            <w:r>
              <w:rPr>
                <w:rFonts w:ascii="Times New Roman" w:hAnsi="Times New Roman" w:eastAsia="宋体" w:cs="Times New Roman"/>
                <w:b w:val="0"/>
                <w:bCs w:val="0"/>
                <w:color w:val="000000"/>
                <w:sz w:val="22"/>
                <w:szCs w:val="22"/>
              </w:rPr>
              <w:t>50-70</w:t>
            </w:r>
          </w:p>
        </w:tc>
        <w:tc>
          <w:tcPr>
            <w:tcW w:w="4626" w:type="dxa"/>
            <w:tcBorders>
              <w:bottom w:val="single" w:color="000000" w:sz="4" w:space="0"/>
            </w:tcBorders>
            <w:vAlign w:val="center"/>
          </w:tcPr>
          <w:p w14:paraId="0C970A20">
            <w:pPr>
              <w:spacing w:before="50" w:after="50"/>
              <w:jc w:val="left"/>
            </w:pPr>
            <w:r>
              <w:rPr>
                <w:rFonts w:ascii="Times New Roman" w:hAnsi="Times New Roman" w:eastAsia="宋体" w:cs="Times New Roman"/>
                <w:b w:val="0"/>
                <w:bCs w:val="0"/>
                <w:color w:val="000000"/>
                <w:sz w:val="22"/>
                <w:szCs w:val="22"/>
              </w:rPr>
              <w:t>青少年+成人+企业团建</w:t>
            </w:r>
          </w:p>
        </w:tc>
      </w:tr>
      <w:tr w14:paraId="507279CC">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65DBA49A">
            <w:pPr>
              <w:spacing w:before="50" w:after="50"/>
              <w:jc w:val="left"/>
            </w:pPr>
            <w:r>
              <w:rPr>
                <w:rFonts w:ascii="Times New Roman" w:hAnsi="Times New Roman" w:eastAsia="宋体" w:cs="Times New Roman"/>
                <w:b w:val="0"/>
                <w:bCs w:val="0"/>
                <w:color w:val="000000"/>
                <w:sz w:val="22"/>
                <w:szCs w:val="22"/>
              </w:rPr>
              <w:t>赛事收入</w:t>
            </w:r>
          </w:p>
        </w:tc>
        <w:tc>
          <w:tcPr>
            <w:tcW w:w="2200" w:type="dxa"/>
            <w:tcBorders>
              <w:bottom w:val="single" w:color="000000" w:sz="4" w:space="0"/>
            </w:tcBorders>
            <w:vAlign w:val="center"/>
          </w:tcPr>
          <w:p w14:paraId="3D656F8D">
            <w:pPr>
              <w:spacing w:before="50" w:after="50"/>
              <w:jc w:val="left"/>
            </w:pPr>
            <w:r>
              <w:rPr>
                <w:rFonts w:ascii="Times New Roman" w:hAnsi="Times New Roman" w:eastAsia="宋体" w:cs="Times New Roman"/>
                <w:b w:val="0"/>
                <w:bCs w:val="0"/>
                <w:color w:val="000000"/>
                <w:sz w:val="22"/>
                <w:szCs w:val="22"/>
              </w:rPr>
              <w:t>30-50</w:t>
            </w:r>
          </w:p>
        </w:tc>
        <w:tc>
          <w:tcPr>
            <w:tcW w:w="4626" w:type="dxa"/>
            <w:tcBorders>
              <w:bottom w:val="single" w:color="000000" w:sz="4" w:space="0"/>
            </w:tcBorders>
            <w:vAlign w:val="center"/>
          </w:tcPr>
          <w:p w14:paraId="1704A3DD">
            <w:pPr>
              <w:spacing w:before="50" w:after="50"/>
              <w:jc w:val="left"/>
            </w:pPr>
            <w:r>
              <w:rPr>
                <w:rFonts w:ascii="Times New Roman" w:hAnsi="Times New Roman" w:eastAsia="宋体" w:cs="Times New Roman"/>
                <w:b w:val="0"/>
                <w:bCs w:val="0"/>
                <w:color w:val="000000"/>
                <w:sz w:val="22"/>
                <w:szCs w:val="22"/>
              </w:rPr>
              <w:t>承办赛事+自主IP赛事</w:t>
            </w:r>
          </w:p>
        </w:tc>
      </w:tr>
      <w:tr w14:paraId="6FF39B96">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59A948EB">
            <w:pPr>
              <w:spacing w:before="50" w:after="50"/>
              <w:jc w:val="left"/>
            </w:pPr>
            <w:r>
              <w:rPr>
                <w:rFonts w:ascii="Times New Roman" w:hAnsi="Times New Roman" w:eastAsia="宋体" w:cs="Times New Roman"/>
                <w:b w:val="0"/>
                <w:bCs w:val="0"/>
                <w:color w:val="000000"/>
                <w:sz w:val="22"/>
                <w:szCs w:val="22"/>
              </w:rPr>
              <w:t>咖啡轻食</w:t>
            </w:r>
          </w:p>
        </w:tc>
        <w:tc>
          <w:tcPr>
            <w:tcW w:w="2200" w:type="dxa"/>
            <w:tcBorders>
              <w:bottom w:val="single" w:color="000000" w:sz="4" w:space="0"/>
            </w:tcBorders>
            <w:vAlign w:val="center"/>
          </w:tcPr>
          <w:p w14:paraId="47DB6C23">
            <w:pPr>
              <w:spacing w:before="50" w:after="50"/>
              <w:jc w:val="left"/>
            </w:pPr>
            <w:r>
              <w:rPr>
                <w:rFonts w:ascii="Times New Roman" w:hAnsi="Times New Roman" w:eastAsia="宋体" w:cs="Times New Roman"/>
                <w:b w:val="0"/>
                <w:bCs w:val="0"/>
                <w:color w:val="000000"/>
                <w:sz w:val="22"/>
                <w:szCs w:val="22"/>
              </w:rPr>
              <w:t>30-40</w:t>
            </w:r>
          </w:p>
        </w:tc>
        <w:tc>
          <w:tcPr>
            <w:tcW w:w="4626" w:type="dxa"/>
            <w:tcBorders>
              <w:bottom w:val="single" w:color="000000" w:sz="4" w:space="0"/>
            </w:tcBorders>
            <w:vAlign w:val="center"/>
          </w:tcPr>
          <w:p w14:paraId="7035F077">
            <w:pPr>
              <w:spacing w:before="50" w:after="50"/>
              <w:jc w:val="left"/>
            </w:pPr>
            <w:r>
              <w:rPr>
                <w:rFonts w:ascii="Times New Roman" w:hAnsi="Times New Roman" w:eastAsia="宋体" w:cs="Times New Roman"/>
                <w:b w:val="0"/>
                <w:bCs w:val="0"/>
                <w:color w:val="000000"/>
                <w:sz w:val="22"/>
                <w:szCs w:val="22"/>
              </w:rPr>
              <w:t>日均消费</w:t>
            </w:r>
          </w:p>
        </w:tc>
      </w:tr>
      <w:tr w14:paraId="1F3AF145">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4270CABA">
            <w:pPr>
              <w:spacing w:before="50" w:after="50"/>
              <w:jc w:val="left"/>
            </w:pPr>
            <w:r>
              <w:rPr>
                <w:rFonts w:ascii="Times New Roman" w:hAnsi="Times New Roman" w:eastAsia="宋体" w:cs="Times New Roman"/>
                <w:b w:val="0"/>
                <w:bCs w:val="0"/>
                <w:color w:val="000000"/>
                <w:sz w:val="22"/>
                <w:szCs w:val="22"/>
              </w:rPr>
              <w:t>音乐驿站</w:t>
            </w:r>
          </w:p>
        </w:tc>
        <w:tc>
          <w:tcPr>
            <w:tcW w:w="2200" w:type="dxa"/>
            <w:tcBorders>
              <w:bottom w:val="single" w:color="000000" w:sz="4" w:space="0"/>
            </w:tcBorders>
            <w:vAlign w:val="center"/>
          </w:tcPr>
          <w:p w14:paraId="4EE9B3F1">
            <w:pPr>
              <w:spacing w:before="50" w:after="50"/>
              <w:jc w:val="left"/>
            </w:pPr>
            <w:r>
              <w:rPr>
                <w:rFonts w:ascii="Times New Roman" w:hAnsi="Times New Roman" w:eastAsia="宋体" w:cs="Times New Roman"/>
                <w:b w:val="0"/>
                <w:bCs w:val="0"/>
                <w:color w:val="000000"/>
                <w:sz w:val="22"/>
                <w:szCs w:val="22"/>
              </w:rPr>
              <w:t>10-15</w:t>
            </w:r>
          </w:p>
        </w:tc>
        <w:tc>
          <w:tcPr>
            <w:tcW w:w="4626" w:type="dxa"/>
            <w:tcBorders>
              <w:bottom w:val="single" w:color="000000" w:sz="4" w:space="0"/>
            </w:tcBorders>
            <w:vAlign w:val="center"/>
          </w:tcPr>
          <w:p w14:paraId="10882E9A">
            <w:pPr>
              <w:spacing w:before="50" w:after="50"/>
              <w:jc w:val="left"/>
            </w:pPr>
            <w:r>
              <w:rPr>
                <w:rFonts w:ascii="Times New Roman" w:hAnsi="Times New Roman" w:eastAsia="宋体" w:cs="Times New Roman"/>
                <w:b w:val="0"/>
                <w:bCs w:val="0"/>
                <w:color w:val="000000"/>
                <w:sz w:val="22"/>
                <w:szCs w:val="22"/>
              </w:rPr>
              <w:t>演出+饮品</w:t>
            </w:r>
          </w:p>
        </w:tc>
      </w:tr>
      <w:tr w14:paraId="50E52585">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200" w:type="dxa"/>
            <w:tcBorders>
              <w:bottom w:val="single" w:color="000000" w:sz="4" w:space="0"/>
            </w:tcBorders>
            <w:vAlign w:val="center"/>
          </w:tcPr>
          <w:p w14:paraId="1D03907D">
            <w:pPr>
              <w:spacing w:before="50" w:after="50"/>
              <w:jc w:val="left"/>
            </w:pPr>
            <w:r>
              <w:rPr>
                <w:rFonts w:ascii="Times New Roman" w:hAnsi="Times New Roman" w:eastAsia="宋体" w:cs="Times New Roman"/>
                <w:b w:val="0"/>
                <w:bCs w:val="0"/>
                <w:color w:val="000000"/>
                <w:sz w:val="22"/>
                <w:szCs w:val="22"/>
              </w:rPr>
              <w:t>停车场</w:t>
            </w:r>
          </w:p>
        </w:tc>
        <w:tc>
          <w:tcPr>
            <w:tcW w:w="2200" w:type="dxa"/>
            <w:tcBorders>
              <w:bottom w:val="single" w:color="000000" w:sz="4" w:space="0"/>
            </w:tcBorders>
            <w:vAlign w:val="center"/>
          </w:tcPr>
          <w:p w14:paraId="7796ECEF">
            <w:pPr>
              <w:spacing w:before="50" w:after="50"/>
              <w:jc w:val="left"/>
            </w:pPr>
            <w:r>
              <w:rPr>
                <w:rFonts w:ascii="Times New Roman" w:hAnsi="Times New Roman" w:eastAsia="宋体" w:cs="Times New Roman"/>
                <w:b w:val="0"/>
                <w:bCs w:val="0"/>
                <w:color w:val="000000"/>
                <w:sz w:val="22"/>
                <w:szCs w:val="22"/>
              </w:rPr>
              <w:t>20-30</w:t>
            </w:r>
          </w:p>
        </w:tc>
        <w:tc>
          <w:tcPr>
            <w:tcW w:w="4626" w:type="dxa"/>
            <w:tcBorders>
              <w:bottom w:val="single" w:color="000000" w:sz="4" w:space="0"/>
            </w:tcBorders>
            <w:vAlign w:val="center"/>
          </w:tcPr>
          <w:p w14:paraId="1C29EC96">
            <w:pPr>
              <w:spacing w:before="50" w:after="50"/>
              <w:jc w:val="left"/>
            </w:pPr>
            <w:r>
              <w:rPr>
                <w:rFonts w:ascii="Times New Roman" w:hAnsi="Times New Roman" w:eastAsia="宋体" w:cs="Times New Roman"/>
                <w:b w:val="0"/>
                <w:bCs w:val="0"/>
                <w:color w:val="000000"/>
                <w:sz w:val="22"/>
                <w:szCs w:val="22"/>
              </w:rPr>
              <w:t>多功能停车场</w:t>
            </w:r>
          </w:p>
        </w:tc>
      </w:tr>
      <w:tr w14:paraId="00093F16">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6D6B3E23">
            <w:pPr>
              <w:spacing w:before="50" w:after="50"/>
              <w:jc w:val="left"/>
            </w:pPr>
            <w:r>
              <w:rPr>
                <w:rFonts w:ascii="Times New Roman" w:hAnsi="Times New Roman" w:eastAsia="宋体" w:cs="Times New Roman"/>
                <w:b w:val="0"/>
                <w:bCs w:val="0"/>
                <w:color w:val="000000"/>
                <w:sz w:val="22"/>
                <w:szCs w:val="22"/>
              </w:rPr>
              <w:t>婚纱/旅拍合作</w:t>
            </w:r>
          </w:p>
        </w:tc>
        <w:tc>
          <w:tcPr>
            <w:tcW w:w="2200" w:type="dxa"/>
            <w:tcBorders>
              <w:bottom w:val="single" w:color="000000" w:sz="4" w:space="0"/>
            </w:tcBorders>
            <w:vAlign w:val="center"/>
          </w:tcPr>
          <w:p w14:paraId="30306B57">
            <w:pPr>
              <w:spacing w:before="50" w:after="50"/>
              <w:jc w:val="left"/>
            </w:pPr>
            <w:r>
              <w:rPr>
                <w:rFonts w:ascii="Times New Roman" w:hAnsi="Times New Roman" w:eastAsia="宋体" w:cs="Times New Roman"/>
                <w:b w:val="0"/>
                <w:bCs w:val="0"/>
                <w:color w:val="000000"/>
                <w:sz w:val="22"/>
                <w:szCs w:val="22"/>
              </w:rPr>
              <w:t>15-25</w:t>
            </w:r>
          </w:p>
        </w:tc>
        <w:tc>
          <w:tcPr>
            <w:tcW w:w="4626" w:type="dxa"/>
            <w:tcBorders>
              <w:bottom w:val="single" w:color="000000" w:sz="4" w:space="0"/>
            </w:tcBorders>
            <w:vAlign w:val="center"/>
          </w:tcPr>
          <w:p w14:paraId="15EC4960">
            <w:pPr>
              <w:spacing w:before="50" w:after="50"/>
              <w:jc w:val="left"/>
            </w:pPr>
            <w:r>
              <w:rPr>
                <w:rFonts w:ascii="Times New Roman" w:hAnsi="Times New Roman" w:eastAsia="宋体" w:cs="Times New Roman"/>
                <w:b w:val="0"/>
                <w:bCs w:val="0"/>
                <w:color w:val="000000"/>
                <w:sz w:val="22"/>
                <w:szCs w:val="22"/>
              </w:rPr>
              <w:t>场地租赁+合作分成</w:t>
            </w:r>
          </w:p>
        </w:tc>
      </w:tr>
      <w:tr w14:paraId="200C9E2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1B6E47DF">
            <w:pPr>
              <w:spacing w:before="50" w:after="50"/>
              <w:jc w:val="left"/>
            </w:pPr>
            <w:r>
              <w:rPr>
                <w:rFonts w:ascii="Times New Roman" w:hAnsi="Times New Roman" w:eastAsia="宋体" w:cs="Times New Roman"/>
                <w:b w:val="0"/>
                <w:bCs w:val="0"/>
                <w:color w:val="000000"/>
                <w:sz w:val="22"/>
                <w:szCs w:val="22"/>
              </w:rPr>
              <w:t>其他（团建/活动）</w:t>
            </w:r>
          </w:p>
        </w:tc>
        <w:tc>
          <w:tcPr>
            <w:tcW w:w="2200" w:type="dxa"/>
            <w:tcBorders>
              <w:bottom w:val="single" w:color="000000" w:sz="4" w:space="0"/>
            </w:tcBorders>
            <w:vAlign w:val="center"/>
          </w:tcPr>
          <w:p w14:paraId="40500086">
            <w:pPr>
              <w:spacing w:before="50" w:after="50"/>
              <w:jc w:val="left"/>
            </w:pPr>
            <w:r>
              <w:rPr>
                <w:rFonts w:ascii="Times New Roman" w:hAnsi="Times New Roman" w:eastAsia="宋体" w:cs="Times New Roman"/>
                <w:b w:val="0"/>
                <w:bCs w:val="0"/>
                <w:color w:val="000000"/>
                <w:sz w:val="22"/>
                <w:szCs w:val="22"/>
              </w:rPr>
              <w:t>15-20</w:t>
            </w:r>
          </w:p>
        </w:tc>
        <w:tc>
          <w:tcPr>
            <w:tcW w:w="4626" w:type="dxa"/>
            <w:tcBorders>
              <w:bottom w:val="single" w:color="000000" w:sz="4" w:space="0"/>
            </w:tcBorders>
            <w:vAlign w:val="center"/>
          </w:tcPr>
          <w:p w14:paraId="2D5224D7">
            <w:pPr>
              <w:spacing w:before="50" w:after="50"/>
              <w:jc w:val="left"/>
            </w:pPr>
            <w:r>
              <w:rPr>
                <w:rFonts w:ascii="Times New Roman" w:hAnsi="Times New Roman" w:eastAsia="宋体" w:cs="Times New Roman"/>
                <w:b w:val="0"/>
                <w:bCs w:val="0"/>
                <w:color w:val="000000"/>
                <w:sz w:val="22"/>
                <w:szCs w:val="22"/>
              </w:rPr>
              <w:t>企业活动承办</w:t>
            </w:r>
          </w:p>
        </w:tc>
      </w:tr>
      <w:tr w14:paraId="586EE22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200" w:type="dxa"/>
            <w:tcBorders>
              <w:bottom w:val="single" w:color="000000" w:sz="4" w:space="0"/>
            </w:tcBorders>
            <w:vAlign w:val="center"/>
          </w:tcPr>
          <w:p w14:paraId="19D0A34E">
            <w:pPr>
              <w:spacing w:before="50" w:after="50"/>
              <w:jc w:val="left"/>
            </w:pPr>
            <w:r>
              <w:rPr>
                <w:rFonts w:ascii="Times New Roman" w:hAnsi="Times New Roman" w:eastAsia="宋体" w:cs="Times New Roman"/>
                <w:b/>
                <w:bCs/>
                <w:color w:val="000000"/>
                <w:sz w:val="22"/>
                <w:szCs w:val="22"/>
              </w:rPr>
              <w:t>合计</w:t>
            </w:r>
          </w:p>
        </w:tc>
        <w:tc>
          <w:tcPr>
            <w:tcW w:w="2200" w:type="dxa"/>
            <w:tcBorders>
              <w:bottom w:val="single" w:color="000000" w:sz="4" w:space="0"/>
            </w:tcBorders>
            <w:vAlign w:val="center"/>
          </w:tcPr>
          <w:p w14:paraId="722BB8F6">
            <w:pPr>
              <w:spacing w:before="50" w:after="50"/>
              <w:jc w:val="left"/>
            </w:pPr>
            <w:r>
              <w:rPr>
                <w:rFonts w:ascii="Times New Roman" w:hAnsi="Times New Roman" w:eastAsia="宋体" w:cs="Times New Roman"/>
                <w:b w:val="0"/>
                <w:bCs w:val="0"/>
                <w:color w:val="000000"/>
                <w:sz w:val="22"/>
                <w:szCs w:val="22"/>
              </w:rPr>
              <w:t>300-410</w:t>
            </w:r>
          </w:p>
        </w:tc>
        <w:tc>
          <w:tcPr>
            <w:tcW w:w="4626" w:type="dxa"/>
            <w:tcBorders>
              <w:bottom w:val="single" w:color="000000" w:sz="4" w:space="0"/>
            </w:tcBorders>
            <w:vAlign w:val="center"/>
          </w:tcPr>
          <w:p w14:paraId="07A0CE7A">
            <w:pPr>
              <w:spacing w:before="50" w:after="50"/>
              <w:jc w:val="left"/>
            </w:pPr>
            <w:r>
              <w:rPr>
                <w:rFonts w:ascii="Times New Roman" w:hAnsi="Times New Roman" w:eastAsia="宋体" w:cs="Times New Roman"/>
                <w:b w:val="0"/>
                <w:bCs w:val="0"/>
                <w:color w:val="000000"/>
                <w:sz w:val="22"/>
                <w:szCs w:val="22"/>
              </w:rPr>
              <w:t>首年保守300万+</w:t>
            </w:r>
          </w:p>
        </w:tc>
      </w:tr>
    </w:tbl>
    <w:p w14:paraId="5BC0F4FA">
      <w:pPr>
        <w:spacing w:before="60" w:after="160"/>
      </w:pPr>
    </w:p>
    <w:p w14:paraId="0773AF06">
      <w:pPr>
        <w:spacing w:before="80" w:after="80" w:line="360" w:lineRule="auto"/>
        <w:ind w:firstLine="480"/>
        <w:jc w:val="both"/>
      </w:pPr>
      <w:r>
        <w:rPr>
          <w:rFonts w:ascii="Times New Roman" w:hAnsi="Times New Roman" w:eastAsia="宋体" w:cs="Times New Roman"/>
          <w:color w:val="000000"/>
          <w:sz w:val="24"/>
          <w:szCs w:val="24"/>
        </w:rPr>
        <w:t>上述测算基于保守假设，首年综合营收预计达300万元以上。随着市场培育和品牌积累，后续年份将保持稳定增长。</w:t>
      </w:r>
    </w:p>
    <w:p w14:paraId="51424579">
      <w:pPr>
        <w:spacing w:before="80" w:after="80" w:line="360" w:lineRule="auto"/>
        <w:ind w:firstLine="480"/>
        <w:jc w:val="both"/>
      </w:pPr>
      <w:r>
        <w:rPr>
          <w:rFonts w:ascii="Times New Roman" w:hAnsi="Times New Roman" w:eastAsia="宋体" w:cs="Times New Roman"/>
          <w:b/>
          <w:bCs/>
          <w:color w:val="000000"/>
          <w:sz w:val="24"/>
          <w:szCs w:val="24"/>
        </w:rPr>
        <w:t>年递增预测：</w:t>
      </w:r>
    </w:p>
    <w:p w14:paraId="0A6C1190">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1500"/>
        <w:gridCol w:w="2200"/>
        <w:gridCol w:w="1800"/>
        <w:gridCol w:w="3526"/>
      </w:tblGrid>
      <w:tr w14:paraId="6248D52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1500" w:type="dxa"/>
            <w:tcBorders>
              <w:bottom w:val="single" w:color="000000" w:sz="6" w:space="0"/>
            </w:tcBorders>
            <w:vAlign w:val="center"/>
          </w:tcPr>
          <w:p w14:paraId="3058F615">
            <w:pPr>
              <w:spacing w:before="60" w:after="60"/>
              <w:jc w:val="center"/>
            </w:pPr>
            <w:r>
              <w:rPr>
                <w:rFonts w:ascii="Times New Roman" w:hAnsi="Times New Roman" w:eastAsia="宋体" w:cs="Times New Roman"/>
                <w:b/>
                <w:bCs/>
                <w:color w:val="000000"/>
                <w:sz w:val="22"/>
                <w:szCs w:val="22"/>
              </w:rPr>
              <w:t>年份</w:t>
            </w:r>
          </w:p>
        </w:tc>
        <w:tc>
          <w:tcPr>
            <w:tcW w:w="2200" w:type="dxa"/>
            <w:tcBorders>
              <w:bottom w:val="single" w:color="000000" w:sz="6" w:space="0"/>
            </w:tcBorders>
            <w:vAlign w:val="center"/>
          </w:tcPr>
          <w:p w14:paraId="6EAE424E">
            <w:pPr>
              <w:spacing w:before="60" w:after="60"/>
              <w:jc w:val="center"/>
            </w:pPr>
            <w:r>
              <w:rPr>
                <w:rFonts w:ascii="Times New Roman" w:hAnsi="Times New Roman" w:eastAsia="宋体" w:cs="Times New Roman"/>
                <w:b/>
                <w:bCs/>
                <w:color w:val="000000"/>
                <w:sz w:val="22"/>
                <w:szCs w:val="22"/>
              </w:rPr>
              <w:t>预计营收（万元）</w:t>
            </w:r>
          </w:p>
        </w:tc>
        <w:tc>
          <w:tcPr>
            <w:tcW w:w="1800" w:type="dxa"/>
            <w:tcBorders>
              <w:bottom w:val="single" w:color="000000" w:sz="6" w:space="0"/>
            </w:tcBorders>
            <w:vAlign w:val="center"/>
          </w:tcPr>
          <w:p w14:paraId="5CBCF818">
            <w:pPr>
              <w:spacing w:before="60" w:after="60"/>
              <w:jc w:val="center"/>
            </w:pPr>
            <w:r>
              <w:rPr>
                <w:rFonts w:ascii="Times New Roman" w:hAnsi="Times New Roman" w:eastAsia="宋体" w:cs="Times New Roman"/>
                <w:b/>
                <w:bCs/>
                <w:color w:val="000000"/>
                <w:sz w:val="22"/>
                <w:szCs w:val="22"/>
              </w:rPr>
              <w:t>同比增长率</w:t>
            </w:r>
          </w:p>
        </w:tc>
        <w:tc>
          <w:tcPr>
            <w:tcW w:w="3526" w:type="dxa"/>
            <w:tcBorders>
              <w:bottom w:val="single" w:color="000000" w:sz="6" w:space="0"/>
            </w:tcBorders>
            <w:vAlign w:val="center"/>
          </w:tcPr>
          <w:p w14:paraId="451F6E8C">
            <w:pPr>
              <w:spacing w:before="60" w:after="60"/>
              <w:jc w:val="center"/>
            </w:pPr>
            <w:r>
              <w:rPr>
                <w:rFonts w:ascii="Times New Roman" w:hAnsi="Times New Roman" w:eastAsia="宋体" w:cs="Times New Roman"/>
                <w:b/>
                <w:bCs/>
                <w:color w:val="000000"/>
                <w:sz w:val="22"/>
                <w:szCs w:val="22"/>
              </w:rPr>
              <w:t>增长驱动因素</w:t>
            </w:r>
          </w:p>
        </w:tc>
      </w:tr>
      <w:tr w14:paraId="7F239594">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1E2B344B">
            <w:pPr>
              <w:spacing w:before="50" w:after="50"/>
              <w:jc w:val="left"/>
            </w:pPr>
            <w:r>
              <w:rPr>
                <w:rFonts w:ascii="Times New Roman" w:hAnsi="Times New Roman" w:eastAsia="宋体" w:cs="Times New Roman"/>
                <w:b w:val="0"/>
                <w:bCs w:val="0"/>
                <w:color w:val="000000"/>
                <w:sz w:val="22"/>
                <w:szCs w:val="22"/>
              </w:rPr>
              <w:t>第1年</w:t>
            </w:r>
          </w:p>
        </w:tc>
        <w:tc>
          <w:tcPr>
            <w:tcW w:w="2200" w:type="dxa"/>
            <w:tcBorders>
              <w:bottom w:val="single" w:color="000000" w:sz="4" w:space="0"/>
            </w:tcBorders>
            <w:vAlign w:val="center"/>
          </w:tcPr>
          <w:p w14:paraId="70EA5C33">
            <w:pPr>
              <w:spacing w:before="50" w:after="50"/>
              <w:jc w:val="left"/>
            </w:pPr>
            <w:r>
              <w:rPr>
                <w:rFonts w:ascii="Times New Roman" w:hAnsi="Times New Roman" w:eastAsia="宋体" w:cs="Times New Roman"/>
                <w:b w:val="0"/>
                <w:bCs w:val="0"/>
                <w:color w:val="000000"/>
                <w:sz w:val="22"/>
                <w:szCs w:val="22"/>
              </w:rPr>
              <w:t>300</w:t>
            </w:r>
          </w:p>
        </w:tc>
        <w:tc>
          <w:tcPr>
            <w:tcW w:w="1800" w:type="dxa"/>
            <w:tcBorders>
              <w:bottom w:val="single" w:color="000000" w:sz="4" w:space="0"/>
            </w:tcBorders>
            <w:vAlign w:val="center"/>
          </w:tcPr>
          <w:p w14:paraId="0F1D4BA2">
            <w:pPr>
              <w:spacing w:before="50" w:after="50"/>
              <w:jc w:val="left"/>
            </w:pPr>
            <w:r>
              <w:rPr>
                <w:rFonts w:ascii="Times New Roman" w:hAnsi="Times New Roman" w:eastAsia="宋体" w:cs="Times New Roman"/>
                <w:b w:val="0"/>
                <w:bCs w:val="0"/>
                <w:color w:val="000000"/>
                <w:sz w:val="22"/>
                <w:szCs w:val="22"/>
              </w:rPr>
              <w:t>-</w:t>
            </w:r>
          </w:p>
        </w:tc>
        <w:tc>
          <w:tcPr>
            <w:tcW w:w="3526" w:type="dxa"/>
            <w:tcBorders>
              <w:bottom w:val="single" w:color="000000" w:sz="4" w:space="0"/>
            </w:tcBorders>
            <w:vAlign w:val="center"/>
          </w:tcPr>
          <w:p w14:paraId="7E4C77EA">
            <w:pPr>
              <w:spacing w:before="50" w:after="50"/>
              <w:jc w:val="left"/>
            </w:pPr>
            <w:r>
              <w:rPr>
                <w:rFonts w:ascii="Times New Roman" w:hAnsi="Times New Roman" w:eastAsia="宋体" w:cs="Times New Roman"/>
                <w:b w:val="0"/>
                <w:bCs w:val="0"/>
                <w:color w:val="000000"/>
                <w:sz w:val="22"/>
                <w:szCs w:val="22"/>
              </w:rPr>
              <w:t>项目开业，市场培育期</w:t>
            </w:r>
          </w:p>
        </w:tc>
      </w:tr>
      <w:tr w14:paraId="072AB106">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29CBF8DB">
            <w:pPr>
              <w:spacing w:before="50" w:after="50"/>
              <w:jc w:val="left"/>
            </w:pPr>
            <w:r>
              <w:rPr>
                <w:rFonts w:ascii="Times New Roman" w:hAnsi="Times New Roman" w:eastAsia="宋体" w:cs="Times New Roman"/>
                <w:b w:val="0"/>
                <w:bCs w:val="0"/>
                <w:color w:val="000000"/>
                <w:sz w:val="22"/>
                <w:szCs w:val="22"/>
              </w:rPr>
              <w:t>第2年</w:t>
            </w:r>
          </w:p>
        </w:tc>
        <w:tc>
          <w:tcPr>
            <w:tcW w:w="2200" w:type="dxa"/>
            <w:tcBorders>
              <w:bottom w:val="single" w:color="000000" w:sz="4" w:space="0"/>
            </w:tcBorders>
            <w:vAlign w:val="center"/>
          </w:tcPr>
          <w:p w14:paraId="5E0481DE">
            <w:pPr>
              <w:spacing w:before="50" w:after="50"/>
              <w:jc w:val="left"/>
            </w:pPr>
            <w:r>
              <w:rPr>
                <w:rFonts w:ascii="Times New Roman" w:hAnsi="Times New Roman" w:eastAsia="宋体" w:cs="Times New Roman"/>
                <w:b w:val="0"/>
                <w:bCs w:val="0"/>
                <w:color w:val="000000"/>
                <w:sz w:val="22"/>
                <w:szCs w:val="22"/>
              </w:rPr>
              <w:t>340</w:t>
            </w:r>
          </w:p>
        </w:tc>
        <w:tc>
          <w:tcPr>
            <w:tcW w:w="1800" w:type="dxa"/>
            <w:tcBorders>
              <w:bottom w:val="single" w:color="000000" w:sz="4" w:space="0"/>
            </w:tcBorders>
            <w:vAlign w:val="center"/>
          </w:tcPr>
          <w:p w14:paraId="26EDAC10">
            <w:pPr>
              <w:spacing w:before="50" w:after="50"/>
              <w:jc w:val="left"/>
            </w:pPr>
            <w:r>
              <w:rPr>
                <w:rFonts w:ascii="Times New Roman" w:hAnsi="Times New Roman" w:eastAsia="宋体" w:cs="Times New Roman"/>
                <w:b w:val="0"/>
                <w:bCs w:val="0"/>
                <w:color w:val="000000"/>
                <w:sz w:val="22"/>
                <w:szCs w:val="22"/>
              </w:rPr>
              <w:t>+13%</w:t>
            </w:r>
          </w:p>
        </w:tc>
        <w:tc>
          <w:tcPr>
            <w:tcW w:w="3526" w:type="dxa"/>
            <w:tcBorders>
              <w:bottom w:val="single" w:color="000000" w:sz="4" w:space="0"/>
            </w:tcBorders>
            <w:vAlign w:val="center"/>
          </w:tcPr>
          <w:p w14:paraId="4108F905">
            <w:pPr>
              <w:spacing w:before="50" w:after="50"/>
              <w:jc w:val="left"/>
            </w:pPr>
            <w:r>
              <w:rPr>
                <w:rFonts w:ascii="Times New Roman" w:hAnsi="Times New Roman" w:eastAsia="宋体" w:cs="Times New Roman"/>
                <w:b w:val="0"/>
                <w:bCs w:val="0"/>
                <w:color w:val="000000"/>
                <w:sz w:val="22"/>
                <w:szCs w:val="22"/>
              </w:rPr>
              <w:t>品牌积累，会员增长</w:t>
            </w:r>
          </w:p>
        </w:tc>
      </w:tr>
      <w:tr w14:paraId="27D06DC8">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1500" w:type="dxa"/>
            <w:tcBorders>
              <w:bottom w:val="single" w:color="000000" w:sz="4" w:space="0"/>
            </w:tcBorders>
            <w:vAlign w:val="center"/>
          </w:tcPr>
          <w:p w14:paraId="594D6412">
            <w:pPr>
              <w:spacing w:before="50" w:after="50"/>
              <w:jc w:val="left"/>
            </w:pPr>
            <w:r>
              <w:rPr>
                <w:rFonts w:ascii="Times New Roman" w:hAnsi="Times New Roman" w:eastAsia="宋体" w:cs="Times New Roman"/>
                <w:b w:val="0"/>
                <w:bCs w:val="0"/>
                <w:color w:val="000000"/>
                <w:sz w:val="22"/>
                <w:szCs w:val="22"/>
              </w:rPr>
              <w:t>第3年</w:t>
            </w:r>
          </w:p>
        </w:tc>
        <w:tc>
          <w:tcPr>
            <w:tcW w:w="2200" w:type="dxa"/>
            <w:tcBorders>
              <w:bottom w:val="single" w:color="000000" w:sz="4" w:space="0"/>
            </w:tcBorders>
            <w:vAlign w:val="center"/>
          </w:tcPr>
          <w:p w14:paraId="6D53081D">
            <w:pPr>
              <w:spacing w:before="50" w:after="50"/>
              <w:jc w:val="left"/>
            </w:pPr>
            <w:r>
              <w:rPr>
                <w:rFonts w:ascii="Times New Roman" w:hAnsi="Times New Roman" w:eastAsia="宋体" w:cs="Times New Roman"/>
                <w:b w:val="0"/>
                <w:bCs w:val="0"/>
                <w:color w:val="000000"/>
                <w:sz w:val="22"/>
                <w:szCs w:val="22"/>
              </w:rPr>
              <w:t>380</w:t>
            </w:r>
          </w:p>
        </w:tc>
        <w:tc>
          <w:tcPr>
            <w:tcW w:w="1800" w:type="dxa"/>
            <w:tcBorders>
              <w:bottom w:val="single" w:color="000000" w:sz="4" w:space="0"/>
            </w:tcBorders>
            <w:vAlign w:val="center"/>
          </w:tcPr>
          <w:p w14:paraId="7635B0BE">
            <w:pPr>
              <w:spacing w:before="50" w:after="50"/>
              <w:jc w:val="left"/>
            </w:pPr>
            <w:r>
              <w:rPr>
                <w:rFonts w:ascii="Times New Roman" w:hAnsi="Times New Roman" w:eastAsia="宋体" w:cs="Times New Roman"/>
                <w:b w:val="0"/>
                <w:bCs w:val="0"/>
                <w:color w:val="000000"/>
                <w:sz w:val="22"/>
                <w:szCs w:val="22"/>
              </w:rPr>
              <w:t>+12%</w:t>
            </w:r>
          </w:p>
        </w:tc>
        <w:tc>
          <w:tcPr>
            <w:tcW w:w="3526" w:type="dxa"/>
            <w:tcBorders>
              <w:bottom w:val="single" w:color="000000" w:sz="4" w:space="0"/>
            </w:tcBorders>
            <w:vAlign w:val="center"/>
          </w:tcPr>
          <w:p w14:paraId="56320222">
            <w:pPr>
              <w:spacing w:before="50" w:after="50"/>
              <w:jc w:val="left"/>
            </w:pPr>
            <w:r>
              <w:rPr>
                <w:rFonts w:ascii="Times New Roman" w:hAnsi="Times New Roman" w:eastAsia="宋体" w:cs="Times New Roman"/>
                <w:b w:val="0"/>
                <w:bCs w:val="0"/>
                <w:color w:val="000000"/>
                <w:sz w:val="22"/>
                <w:szCs w:val="22"/>
              </w:rPr>
              <w:t>赛事体系成熟，培训规模扩大</w:t>
            </w:r>
          </w:p>
        </w:tc>
      </w:tr>
      <w:tr w14:paraId="1C814590">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540D78D7">
            <w:pPr>
              <w:spacing w:before="50" w:after="50"/>
              <w:jc w:val="left"/>
            </w:pPr>
            <w:r>
              <w:rPr>
                <w:rFonts w:ascii="Times New Roman" w:hAnsi="Times New Roman" w:eastAsia="宋体" w:cs="Times New Roman"/>
                <w:b w:val="0"/>
                <w:bCs w:val="0"/>
                <w:color w:val="000000"/>
                <w:sz w:val="22"/>
                <w:szCs w:val="22"/>
              </w:rPr>
              <w:t>第4年</w:t>
            </w:r>
          </w:p>
        </w:tc>
        <w:tc>
          <w:tcPr>
            <w:tcW w:w="2200" w:type="dxa"/>
            <w:tcBorders>
              <w:bottom w:val="single" w:color="000000" w:sz="4" w:space="0"/>
            </w:tcBorders>
            <w:vAlign w:val="center"/>
          </w:tcPr>
          <w:p w14:paraId="3BD3B524">
            <w:pPr>
              <w:spacing w:before="50" w:after="50"/>
              <w:jc w:val="left"/>
            </w:pPr>
            <w:r>
              <w:rPr>
                <w:rFonts w:ascii="Times New Roman" w:hAnsi="Times New Roman" w:eastAsia="宋体" w:cs="Times New Roman"/>
                <w:b w:val="0"/>
                <w:bCs w:val="0"/>
                <w:color w:val="000000"/>
                <w:sz w:val="22"/>
                <w:szCs w:val="22"/>
              </w:rPr>
              <w:t>420</w:t>
            </w:r>
          </w:p>
        </w:tc>
        <w:tc>
          <w:tcPr>
            <w:tcW w:w="1800" w:type="dxa"/>
            <w:tcBorders>
              <w:bottom w:val="single" w:color="000000" w:sz="4" w:space="0"/>
            </w:tcBorders>
            <w:vAlign w:val="center"/>
          </w:tcPr>
          <w:p w14:paraId="6D1F8137">
            <w:pPr>
              <w:spacing w:before="50" w:after="50"/>
              <w:jc w:val="left"/>
            </w:pPr>
            <w:r>
              <w:rPr>
                <w:rFonts w:ascii="Times New Roman" w:hAnsi="Times New Roman" w:eastAsia="宋体" w:cs="Times New Roman"/>
                <w:b w:val="0"/>
                <w:bCs w:val="0"/>
                <w:color w:val="000000"/>
                <w:sz w:val="22"/>
                <w:szCs w:val="22"/>
              </w:rPr>
              <w:t>+11%</w:t>
            </w:r>
          </w:p>
        </w:tc>
        <w:tc>
          <w:tcPr>
            <w:tcW w:w="3526" w:type="dxa"/>
            <w:tcBorders>
              <w:bottom w:val="single" w:color="000000" w:sz="4" w:space="0"/>
            </w:tcBorders>
            <w:vAlign w:val="center"/>
          </w:tcPr>
          <w:p w14:paraId="3EAD35E0">
            <w:pPr>
              <w:spacing w:before="50" w:after="50"/>
              <w:jc w:val="left"/>
            </w:pPr>
            <w:r>
              <w:rPr>
                <w:rFonts w:ascii="Times New Roman" w:hAnsi="Times New Roman" w:eastAsia="宋体" w:cs="Times New Roman"/>
                <w:b w:val="0"/>
                <w:bCs w:val="0"/>
                <w:color w:val="000000"/>
                <w:sz w:val="22"/>
                <w:szCs w:val="22"/>
              </w:rPr>
              <w:t>复合消费提升，合作渠道拓展</w:t>
            </w:r>
          </w:p>
        </w:tc>
      </w:tr>
      <w:tr w14:paraId="6DC4B511">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42108F27">
            <w:pPr>
              <w:spacing w:before="50" w:after="50"/>
              <w:jc w:val="left"/>
            </w:pPr>
            <w:r>
              <w:rPr>
                <w:rFonts w:ascii="Times New Roman" w:hAnsi="Times New Roman" w:eastAsia="宋体" w:cs="Times New Roman"/>
                <w:b w:val="0"/>
                <w:bCs w:val="0"/>
                <w:color w:val="000000"/>
                <w:sz w:val="22"/>
                <w:szCs w:val="22"/>
              </w:rPr>
              <w:t>第5年</w:t>
            </w:r>
          </w:p>
        </w:tc>
        <w:tc>
          <w:tcPr>
            <w:tcW w:w="2200" w:type="dxa"/>
            <w:tcBorders>
              <w:bottom w:val="single" w:color="000000" w:sz="4" w:space="0"/>
            </w:tcBorders>
            <w:vAlign w:val="center"/>
          </w:tcPr>
          <w:p w14:paraId="7D28AABC">
            <w:pPr>
              <w:spacing w:before="50" w:after="50"/>
              <w:jc w:val="left"/>
            </w:pPr>
            <w:r>
              <w:rPr>
                <w:rFonts w:ascii="Times New Roman" w:hAnsi="Times New Roman" w:eastAsia="宋体" w:cs="Times New Roman"/>
                <w:b w:val="0"/>
                <w:bCs w:val="0"/>
                <w:color w:val="000000"/>
                <w:sz w:val="22"/>
                <w:szCs w:val="22"/>
              </w:rPr>
              <w:t>460</w:t>
            </w:r>
          </w:p>
        </w:tc>
        <w:tc>
          <w:tcPr>
            <w:tcW w:w="1800" w:type="dxa"/>
            <w:tcBorders>
              <w:bottom w:val="single" w:color="000000" w:sz="4" w:space="0"/>
            </w:tcBorders>
            <w:vAlign w:val="center"/>
          </w:tcPr>
          <w:p w14:paraId="056C1FE1">
            <w:pPr>
              <w:spacing w:before="50" w:after="50"/>
              <w:jc w:val="left"/>
            </w:pPr>
            <w:r>
              <w:rPr>
                <w:rFonts w:ascii="Times New Roman" w:hAnsi="Times New Roman" w:eastAsia="宋体" w:cs="Times New Roman"/>
                <w:b w:val="0"/>
                <w:bCs w:val="0"/>
                <w:color w:val="000000"/>
                <w:sz w:val="22"/>
                <w:szCs w:val="22"/>
              </w:rPr>
              <w:t>+10%</w:t>
            </w:r>
          </w:p>
        </w:tc>
        <w:tc>
          <w:tcPr>
            <w:tcW w:w="3526" w:type="dxa"/>
            <w:tcBorders>
              <w:bottom w:val="single" w:color="000000" w:sz="4" w:space="0"/>
            </w:tcBorders>
            <w:vAlign w:val="center"/>
          </w:tcPr>
          <w:p w14:paraId="6CAB31A7">
            <w:pPr>
              <w:spacing w:before="50" w:after="50"/>
              <w:jc w:val="left"/>
            </w:pPr>
            <w:r>
              <w:rPr>
                <w:rFonts w:ascii="Times New Roman" w:hAnsi="Times New Roman" w:eastAsia="宋体" w:cs="Times New Roman"/>
                <w:b w:val="0"/>
                <w:bCs w:val="0"/>
                <w:color w:val="000000"/>
                <w:sz w:val="22"/>
                <w:szCs w:val="22"/>
              </w:rPr>
              <w:t>品牌效应显现，运营效率优化</w:t>
            </w:r>
          </w:p>
        </w:tc>
      </w:tr>
      <w:tr w14:paraId="725CE518">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7207173A">
            <w:pPr>
              <w:spacing w:before="50" w:after="50"/>
              <w:jc w:val="left"/>
            </w:pPr>
            <w:r>
              <w:rPr>
                <w:rFonts w:ascii="Times New Roman" w:hAnsi="Times New Roman" w:eastAsia="宋体" w:cs="Times New Roman"/>
                <w:b w:val="0"/>
                <w:bCs w:val="0"/>
                <w:color w:val="000000"/>
                <w:sz w:val="22"/>
                <w:szCs w:val="22"/>
              </w:rPr>
              <w:t>后续年份</w:t>
            </w:r>
          </w:p>
        </w:tc>
        <w:tc>
          <w:tcPr>
            <w:tcW w:w="2200" w:type="dxa"/>
            <w:tcBorders>
              <w:bottom w:val="single" w:color="000000" w:sz="4" w:space="0"/>
            </w:tcBorders>
            <w:vAlign w:val="center"/>
          </w:tcPr>
          <w:p w14:paraId="1BBE0FC7">
            <w:pPr>
              <w:spacing w:before="50" w:after="50"/>
              <w:jc w:val="left"/>
            </w:pPr>
            <w:r>
              <w:rPr>
                <w:rFonts w:ascii="Times New Roman" w:hAnsi="Times New Roman" w:eastAsia="宋体" w:cs="Times New Roman"/>
                <w:b w:val="0"/>
                <w:bCs w:val="0"/>
                <w:color w:val="000000"/>
                <w:sz w:val="22"/>
                <w:szCs w:val="22"/>
              </w:rPr>
              <w:t>保持8-10%增长</w:t>
            </w:r>
          </w:p>
        </w:tc>
        <w:tc>
          <w:tcPr>
            <w:tcW w:w="1800" w:type="dxa"/>
            <w:tcBorders>
              <w:bottom w:val="single" w:color="000000" w:sz="4" w:space="0"/>
            </w:tcBorders>
            <w:vAlign w:val="center"/>
          </w:tcPr>
          <w:p w14:paraId="5E67F265">
            <w:pPr>
              <w:spacing w:before="50" w:after="50"/>
              <w:jc w:val="left"/>
            </w:pPr>
            <w:r>
              <w:rPr>
                <w:rFonts w:ascii="Times New Roman" w:hAnsi="Times New Roman" w:eastAsia="宋体" w:cs="Times New Roman"/>
                <w:b w:val="0"/>
                <w:bCs w:val="0"/>
                <w:color w:val="000000"/>
                <w:sz w:val="22"/>
                <w:szCs w:val="22"/>
              </w:rPr>
              <w:t>-</w:t>
            </w:r>
          </w:p>
        </w:tc>
        <w:tc>
          <w:tcPr>
            <w:tcW w:w="3526" w:type="dxa"/>
            <w:tcBorders>
              <w:bottom w:val="single" w:color="000000" w:sz="4" w:space="0"/>
            </w:tcBorders>
            <w:vAlign w:val="center"/>
          </w:tcPr>
          <w:p w14:paraId="4ECDB9C0">
            <w:pPr>
              <w:spacing w:before="50" w:after="50"/>
              <w:jc w:val="left"/>
            </w:pPr>
            <w:r>
              <w:rPr>
                <w:rFonts w:ascii="Times New Roman" w:hAnsi="Times New Roman" w:eastAsia="宋体" w:cs="Times New Roman"/>
                <w:b w:val="0"/>
                <w:bCs w:val="0"/>
                <w:color w:val="000000"/>
                <w:sz w:val="22"/>
                <w:szCs w:val="22"/>
              </w:rPr>
              <w:t>稳定运营，持续创新</w:t>
            </w:r>
          </w:p>
        </w:tc>
      </w:tr>
    </w:tbl>
    <w:p w14:paraId="74D010C9">
      <w:pPr>
        <w:spacing w:before="60" w:after="160"/>
      </w:pPr>
    </w:p>
    <w:p w14:paraId="6B01534B">
      <w:pPr>
        <w:pStyle w:val="3"/>
        <w:keepNext/>
        <w:keepLines/>
      </w:pPr>
      <w:r>
        <w:t>5.2 间接经济效益</w:t>
      </w:r>
    </w:p>
    <w:p w14:paraId="2BBE0B08">
      <w:pPr>
        <w:spacing w:before="80" w:after="80" w:line="360" w:lineRule="auto"/>
        <w:ind w:firstLine="480"/>
        <w:jc w:val="both"/>
      </w:pPr>
      <w:r>
        <w:rPr>
          <w:rFonts w:ascii="Times New Roman" w:hAnsi="Times New Roman" w:eastAsia="宋体" w:cs="Times New Roman"/>
          <w:color w:val="000000"/>
          <w:sz w:val="24"/>
          <w:szCs w:val="24"/>
        </w:rPr>
        <w:t>赛事期间将显著带动周边消费。参考鹤壁市承办全国匹克球锦标赛的数据，单场全国性赛事可直接带动约1500万元的综合消费，涵盖住宿、餐饮、交通等消费领域。</w:t>
      </w:r>
    </w:p>
    <w:p w14:paraId="18D0B194">
      <w:pPr>
        <w:spacing w:before="80" w:after="80" w:line="360" w:lineRule="auto"/>
        <w:ind w:firstLine="480"/>
        <w:jc w:val="both"/>
      </w:pPr>
      <w:r>
        <w:rPr>
          <w:rFonts w:ascii="Times New Roman" w:hAnsi="Times New Roman" w:eastAsia="宋体" w:cs="Times New Roman"/>
          <w:color w:val="000000"/>
          <w:sz w:val="24"/>
          <w:szCs w:val="24"/>
        </w:rPr>
        <w:t>项目的成功运营将有效提升南山片区的土地价值和商业活力。同时，项目经营产生的税收也将为区域财政做出持续贡献。作为体育产业项目，还可享受相关产业扶持政策，进一步优化项目的经济贡献。</w:t>
      </w:r>
    </w:p>
    <w:p w14:paraId="5F29E5BB">
      <w:pPr>
        <w:pStyle w:val="3"/>
        <w:keepNext/>
        <w:keepLines/>
      </w:pPr>
      <w:r>
        <w:t>5.3 品牌溢出价值</w:t>
      </w:r>
    </w:p>
    <w:p w14:paraId="5112C586">
      <w:pPr>
        <w:spacing w:before="80" w:after="80" w:line="360" w:lineRule="auto"/>
        <w:ind w:firstLine="480"/>
        <w:jc w:val="both"/>
      </w:pPr>
      <w:r>
        <w:rPr>
          <w:rFonts w:ascii="Times New Roman" w:hAnsi="Times New Roman" w:eastAsia="宋体" w:cs="Times New Roman"/>
          <w:color w:val="000000"/>
          <w:sz w:val="24"/>
          <w:szCs w:val="24"/>
        </w:rPr>
        <w:t>“南山森兰”品牌的建立将为南岸区创造持续的品牌价值。全国性赛事的举办将带来大量赛事直播和媒体报道，为南山片区创造可观的城市曝光度。</w:t>
      </w:r>
    </w:p>
    <w:p w14:paraId="2BB308A8">
      <w:pPr>
        <w:spacing w:before="80" w:after="80" w:line="360" w:lineRule="auto"/>
        <w:ind w:firstLine="480"/>
        <w:jc w:val="both"/>
      </w:pPr>
      <w:r>
        <w:rPr>
          <w:rFonts w:ascii="Times New Roman" w:hAnsi="Times New Roman" w:eastAsia="宋体" w:cs="Times New Roman"/>
          <w:color w:val="000000"/>
          <w:sz w:val="24"/>
          <w:szCs w:val="24"/>
        </w:rPr>
        <w:t>社交媒体的自发传播同样不可忽视。匹克球运动天然的社交属性和网红特质，将持续为南山带来免费的线上传播，提升区域的知名度和美誉度。这种品牌溢出效应将远超项目本身的直接经济贡献。</w:t>
      </w:r>
    </w:p>
    <w:p w14:paraId="21E2E7D6">
      <w:pPr>
        <w:pStyle w:val="2"/>
        <w:keepNext/>
        <w:keepLines/>
      </w:pPr>
      <w:r>
        <w:t>第六章 合作模式</w:t>
      </w:r>
    </w:p>
    <w:p w14:paraId="159592B8">
      <w:pPr>
        <w:spacing w:before="80" w:after="80" w:line="360" w:lineRule="auto"/>
        <w:ind w:firstLine="480"/>
        <w:jc w:val="both"/>
      </w:pPr>
      <w:r>
        <w:rPr>
          <w:rFonts w:ascii="Times New Roman" w:hAnsi="Times New Roman" w:eastAsia="宋体" w:cs="Times New Roman"/>
          <w:color w:val="000000"/>
          <w:sz w:val="24"/>
          <w:szCs w:val="24"/>
        </w:rPr>
        <w:t>本章明确双方的合作架构、期限条件、权责分工和风险共担机制，为管委会决策提供清晰的框架参考。</w:t>
      </w:r>
    </w:p>
    <w:p w14:paraId="02A82185">
      <w:pPr>
        <w:pStyle w:val="3"/>
        <w:keepNext/>
        <w:keepLines/>
      </w:pPr>
      <w:r>
        <w:t>6.1 合作架构</w:t>
      </w:r>
    </w:p>
    <w:p w14:paraId="3AB27321">
      <w:pPr>
        <w:spacing w:before="80" w:after="80" w:line="360" w:lineRule="auto"/>
        <w:ind w:firstLine="480"/>
        <w:jc w:val="both"/>
      </w:pPr>
      <w:r>
        <w:rPr>
          <w:rFonts w:ascii="Times New Roman" w:hAnsi="Times New Roman" w:eastAsia="宋体" w:cs="Times New Roman"/>
          <w:color w:val="000000"/>
          <w:sz w:val="24"/>
          <w:szCs w:val="24"/>
        </w:rPr>
        <w:t>本项目采用“政府出地、企业出资”的合作模式：南山管理委员会提供土地使用权，并负责协调政府各部门的报批手续；上海森兰公司负责全部投资，包括策划规划、土地平整建设、场地建设、运营管理和资源引入，总投入约1500万元。</w:t>
      </w:r>
    </w:p>
    <w:p w14:paraId="207AFBA6">
      <w:pPr>
        <w:spacing w:before="80" w:after="80" w:line="360" w:lineRule="auto"/>
        <w:ind w:firstLine="480"/>
        <w:jc w:val="both"/>
      </w:pPr>
      <w:r>
        <w:rPr>
          <w:rFonts w:ascii="Times New Roman" w:hAnsi="Times New Roman" w:eastAsia="宋体" w:cs="Times New Roman"/>
          <w:color w:val="000000"/>
          <w:sz w:val="24"/>
          <w:szCs w:val="24"/>
        </w:rPr>
        <w:t>这一合作模式充分发挥了双方的优势：政府以土地资源撬动体育产业落地，企业以专业能力确保项目的高效建设和运营。双方各司其职、优势互补，共同推动项目成功。</w:t>
      </w:r>
    </w:p>
    <w:p w14:paraId="3D69C0F4">
      <w:pPr>
        <w:pStyle w:val="3"/>
        <w:keepNext/>
        <w:keepLines/>
      </w:pPr>
      <w:r>
        <w:t>6.2 合作期限与条件建议</w:t>
      </w:r>
    </w:p>
    <w:p w14:paraId="189DB5C8">
      <w:pPr>
        <w:spacing w:before="80" w:after="80" w:line="360" w:lineRule="auto"/>
        <w:ind w:firstLine="480"/>
        <w:jc w:val="both"/>
      </w:pPr>
      <w:r>
        <w:rPr>
          <w:rFonts w:ascii="Times New Roman" w:hAnsi="Times New Roman" w:eastAsia="宋体" w:cs="Times New Roman"/>
          <w:color w:val="000000"/>
          <w:sz w:val="24"/>
          <w:szCs w:val="24"/>
        </w:rPr>
        <w:t>建议合作期限为16年，分为两个阶段：</w:t>
      </w:r>
    </w:p>
    <w:p w14:paraId="4A78B7A7">
      <w:pPr>
        <w:spacing w:before="80" w:after="80" w:line="360" w:lineRule="auto"/>
        <w:ind w:firstLine="480"/>
        <w:jc w:val="both"/>
      </w:pPr>
      <w:r>
        <w:rPr>
          <w:rFonts w:ascii="Times New Roman" w:hAnsi="Times New Roman" w:eastAsia="宋体" w:cs="Times New Roman"/>
          <w:color w:val="000000"/>
          <w:sz w:val="24"/>
          <w:szCs w:val="24"/>
        </w:rPr>
        <w:t>前8年为培育期和成长期。在此期间，南山管委会提供土地免租使用，上海森兰承担全部建设投资及运营成本，独立运营、自负盈亏。前期投资回收期较长，免租安排可有效降低运营压力，确保项目的存活和品质。</w:t>
      </w:r>
    </w:p>
    <w:p w14:paraId="7DBC2D0C">
      <w:pPr>
        <w:spacing w:before="80" w:after="80" w:line="360" w:lineRule="auto"/>
        <w:ind w:firstLine="480"/>
        <w:jc w:val="both"/>
      </w:pPr>
      <w:r>
        <w:rPr>
          <w:rFonts w:ascii="Times New Roman" w:hAnsi="Times New Roman" w:eastAsia="宋体" w:cs="Times New Roman"/>
          <w:color w:val="000000"/>
          <w:sz w:val="24"/>
          <w:szCs w:val="24"/>
        </w:rPr>
        <w:t>后8年为成熟期和回报期。在此期间，双方协商保底分成模式，建议南山管委会获得年营收的一定比例作为土地收益，具体比例另行协商。合约到期后，上海森兰负责恢复土地原状或双方协商续约。</w:t>
      </w:r>
    </w:p>
    <w:p w14:paraId="2D81A037">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1500"/>
        <w:gridCol w:w="1200"/>
        <w:gridCol w:w="3163"/>
        <w:gridCol w:w="3163"/>
      </w:tblGrid>
      <w:tr w14:paraId="001BE9BD">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1500" w:type="dxa"/>
            <w:tcBorders>
              <w:bottom w:val="single" w:color="000000" w:sz="6" w:space="0"/>
            </w:tcBorders>
            <w:vAlign w:val="center"/>
          </w:tcPr>
          <w:p w14:paraId="7C27E936">
            <w:pPr>
              <w:spacing w:before="60" w:after="60"/>
              <w:jc w:val="center"/>
            </w:pPr>
            <w:r>
              <w:rPr>
                <w:rFonts w:ascii="Times New Roman" w:hAnsi="Times New Roman" w:eastAsia="宋体" w:cs="Times New Roman"/>
                <w:b/>
                <w:bCs/>
                <w:color w:val="000000"/>
                <w:sz w:val="22"/>
                <w:szCs w:val="22"/>
              </w:rPr>
              <w:t>阶段</w:t>
            </w:r>
          </w:p>
        </w:tc>
        <w:tc>
          <w:tcPr>
            <w:tcW w:w="1200" w:type="dxa"/>
            <w:tcBorders>
              <w:bottom w:val="single" w:color="000000" w:sz="6" w:space="0"/>
            </w:tcBorders>
            <w:vAlign w:val="center"/>
          </w:tcPr>
          <w:p w14:paraId="65CDAD95">
            <w:pPr>
              <w:spacing w:before="60" w:after="60"/>
              <w:jc w:val="center"/>
            </w:pPr>
            <w:r>
              <w:rPr>
                <w:rFonts w:ascii="Times New Roman" w:hAnsi="Times New Roman" w:eastAsia="宋体" w:cs="Times New Roman"/>
                <w:b/>
                <w:bCs/>
                <w:color w:val="000000"/>
                <w:sz w:val="22"/>
                <w:szCs w:val="22"/>
              </w:rPr>
              <w:t>期限</w:t>
            </w:r>
          </w:p>
        </w:tc>
        <w:tc>
          <w:tcPr>
            <w:tcW w:w="3163" w:type="dxa"/>
            <w:tcBorders>
              <w:bottom w:val="single" w:color="000000" w:sz="6" w:space="0"/>
            </w:tcBorders>
            <w:vAlign w:val="center"/>
          </w:tcPr>
          <w:p w14:paraId="41FB6E4A">
            <w:pPr>
              <w:spacing w:before="60" w:after="60"/>
              <w:jc w:val="center"/>
            </w:pPr>
            <w:r>
              <w:rPr>
                <w:rFonts w:ascii="Times New Roman" w:hAnsi="Times New Roman" w:eastAsia="宋体" w:cs="Times New Roman"/>
                <w:b/>
                <w:bCs/>
                <w:color w:val="000000"/>
                <w:sz w:val="22"/>
                <w:szCs w:val="22"/>
              </w:rPr>
              <w:t>核心安排</w:t>
            </w:r>
          </w:p>
        </w:tc>
        <w:tc>
          <w:tcPr>
            <w:tcW w:w="3163" w:type="dxa"/>
            <w:tcBorders>
              <w:bottom w:val="single" w:color="000000" w:sz="6" w:space="0"/>
            </w:tcBorders>
            <w:vAlign w:val="center"/>
          </w:tcPr>
          <w:p w14:paraId="268FFFD2">
            <w:pPr>
              <w:spacing w:before="60" w:after="60"/>
              <w:jc w:val="center"/>
            </w:pPr>
            <w:r>
              <w:rPr>
                <w:rFonts w:ascii="Times New Roman" w:hAnsi="Times New Roman" w:eastAsia="宋体" w:cs="Times New Roman"/>
                <w:b/>
                <w:bCs/>
                <w:color w:val="000000"/>
                <w:sz w:val="22"/>
                <w:szCs w:val="22"/>
              </w:rPr>
              <w:t xml:space="preserve"> rationale</w:t>
            </w:r>
          </w:p>
        </w:tc>
      </w:tr>
      <w:tr w14:paraId="60E23A9B">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1A78BD50">
            <w:pPr>
              <w:spacing w:before="50" w:after="50"/>
              <w:jc w:val="left"/>
            </w:pPr>
            <w:r>
              <w:rPr>
                <w:rFonts w:ascii="Times New Roman" w:hAnsi="Times New Roman" w:eastAsia="宋体" w:cs="Times New Roman"/>
                <w:b w:val="0"/>
                <w:bCs w:val="0"/>
                <w:color w:val="000000"/>
                <w:sz w:val="22"/>
                <w:szCs w:val="22"/>
              </w:rPr>
              <w:t>培育+成长期</w:t>
            </w:r>
          </w:p>
        </w:tc>
        <w:tc>
          <w:tcPr>
            <w:tcW w:w="1200" w:type="dxa"/>
            <w:tcBorders>
              <w:bottom w:val="single" w:color="000000" w:sz="4" w:space="0"/>
            </w:tcBorders>
            <w:vAlign w:val="center"/>
          </w:tcPr>
          <w:p w14:paraId="3067A1C7">
            <w:pPr>
              <w:spacing w:before="50" w:after="50"/>
              <w:jc w:val="left"/>
            </w:pPr>
            <w:r>
              <w:rPr>
                <w:rFonts w:ascii="Times New Roman" w:hAnsi="Times New Roman" w:eastAsia="宋体" w:cs="Times New Roman"/>
                <w:b w:val="0"/>
                <w:bCs w:val="0"/>
                <w:color w:val="000000"/>
                <w:sz w:val="22"/>
                <w:szCs w:val="22"/>
              </w:rPr>
              <w:t>前8年</w:t>
            </w:r>
          </w:p>
        </w:tc>
        <w:tc>
          <w:tcPr>
            <w:tcW w:w="3163" w:type="dxa"/>
            <w:tcBorders>
              <w:bottom w:val="single" w:color="000000" w:sz="4" w:space="0"/>
            </w:tcBorders>
            <w:vAlign w:val="center"/>
          </w:tcPr>
          <w:p w14:paraId="394CC763">
            <w:pPr>
              <w:spacing w:before="50" w:after="50"/>
              <w:jc w:val="left"/>
            </w:pPr>
            <w:r>
              <w:rPr>
                <w:rFonts w:ascii="Times New Roman" w:hAnsi="Times New Roman" w:eastAsia="宋体" w:cs="Times New Roman"/>
                <w:b w:val="0"/>
                <w:bCs w:val="0"/>
                <w:color w:val="000000"/>
                <w:sz w:val="22"/>
                <w:szCs w:val="22"/>
              </w:rPr>
              <w:t>土地免租使用；上海森兰全额投资运营；自负盈亏</w:t>
            </w:r>
          </w:p>
        </w:tc>
        <w:tc>
          <w:tcPr>
            <w:tcW w:w="3163" w:type="dxa"/>
            <w:tcBorders>
              <w:bottom w:val="single" w:color="000000" w:sz="4" w:space="0"/>
            </w:tcBorders>
            <w:vAlign w:val="center"/>
          </w:tcPr>
          <w:p w14:paraId="05386CEB">
            <w:pPr>
              <w:spacing w:before="50" w:after="50"/>
              <w:jc w:val="left"/>
            </w:pPr>
            <w:r>
              <w:rPr>
                <w:rFonts w:ascii="Times New Roman" w:hAnsi="Times New Roman" w:eastAsia="宋体" w:cs="Times New Roman"/>
                <w:b w:val="0"/>
                <w:bCs w:val="0"/>
                <w:color w:val="000000"/>
                <w:sz w:val="22"/>
                <w:szCs w:val="22"/>
              </w:rPr>
              <w:t>前期投资回收期长，免租降低运营压力，确保项目存活和品质</w:t>
            </w:r>
          </w:p>
        </w:tc>
      </w:tr>
      <w:tr w14:paraId="3C248A75">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287A98DA">
            <w:pPr>
              <w:spacing w:before="50" w:after="50"/>
              <w:jc w:val="left"/>
            </w:pPr>
            <w:r>
              <w:rPr>
                <w:rFonts w:ascii="Times New Roman" w:hAnsi="Times New Roman" w:eastAsia="宋体" w:cs="Times New Roman"/>
                <w:b w:val="0"/>
                <w:bCs w:val="0"/>
                <w:color w:val="000000"/>
                <w:sz w:val="22"/>
                <w:szCs w:val="22"/>
              </w:rPr>
              <w:t>成熟+回报期</w:t>
            </w:r>
          </w:p>
        </w:tc>
        <w:tc>
          <w:tcPr>
            <w:tcW w:w="1200" w:type="dxa"/>
            <w:tcBorders>
              <w:bottom w:val="single" w:color="000000" w:sz="4" w:space="0"/>
            </w:tcBorders>
            <w:vAlign w:val="center"/>
          </w:tcPr>
          <w:p w14:paraId="0B41EA55">
            <w:pPr>
              <w:spacing w:before="50" w:after="50"/>
              <w:jc w:val="left"/>
            </w:pPr>
            <w:r>
              <w:rPr>
                <w:rFonts w:ascii="Times New Roman" w:hAnsi="Times New Roman" w:eastAsia="宋体" w:cs="Times New Roman"/>
                <w:b w:val="0"/>
                <w:bCs w:val="0"/>
                <w:color w:val="000000"/>
                <w:sz w:val="22"/>
                <w:szCs w:val="22"/>
              </w:rPr>
              <w:t>后8年</w:t>
            </w:r>
          </w:p>
        </w:tc>
        <w:tc>
          <w:tcPr>
            <w:tcW w:w="3163" w:type="dxa"/>
            <w:tcBorders>
              <w:bottom w:val="single" w:color="000000" w:sz="4" w:space="0"/>
            </w:tcBorders>
            <w:vAlign w:val="center"/>
          </w:tcPr>
          <w:p w14:paraId="08FDDCDA">
            <w:pPr>
              <w:spacing w:before="50" w:after="50"/>
              <w:jc w:val="left"/>
            </w:pPr>
            <w:r>
              <w:rPr>
                <w:rFonts w:ascii="Times New Roman" w:hAnsi="Times New Roman" w:eastAsia="宋体" w:cs="Times New Roman"/>
                <w:b w:val="0"/>
                <w:bCs w:val="0"/>
                <w:color w:val="000000"/>
                <w:sz w:val="22"/>
                <w:szCs w:val="22"/>
              </w:rPr>
              <w:t>双方协商保底分成；南山管委会获得年营收分成</w:t>
            </w:r>
          </w:p>
        </w:tc>
        <w:tc>
          <w:tcPr>
            <w:tcW w:w="3163" w:type="dxa"/>
            <w:tcBorders>
              <w:bottom w:val="single" w:color="000000" w:sz="4" w:space="0"/>
            </w:tcBorders>
            <w:vAlign w:val="center"/>
          </w:tcPr>
          <w:p w14:paraId="201C50EB">
            <w:pPr>
              <w:spacing w:before="50" w:after="50"/>
              <w:jc w:val="left"/>
            </w:pPr>
            <w:r>
              <w:rPr>
                <w:rFonts w:ascii="Times New Roman" w:hAnsi="Times New Roman" w:eastAsia="宋体" w:cs="Times New Roman"/>
                <w:b w:val="0"/>
                <w:bCs w:val="0"/>
                <w:color w:val="000000"/>
                <w:sz w:val="22"/>
                <w:szCs w:val="22"/>
              </w:rPr>
              <w:t>项目进入成熟运营期，双方共享收益</w:t>
            </w:r>
          </w:p>
        </w:tc>
      </w:tr>
    </w:tbl>
    <w:p w14:paraId="2C54D444">
      <w:pPr>
        <w:spacing w:before="60" w:after="160"/>
      </w:pPr>
    </w:p>
    <w:p w14:paraId="749BE7AE">
      <w:pPr>
        <w:pStyle w:val="3"/>
        <w:keepNext/>
        <w:keepLines/>
      </w:pPr>
      <w:r>
        <w:t>6.3 双方权责清单</w:t>
      </w:r>
    </w:p>
    <w:p w14:paraId="1E267984">
      <w:pPr>
        <w:spacing w:before="80" w:after="80" w:line="360" w:lineRule="auto"/>
        <w:ind w:firstLine="480"/>
        <w:jc w:val="both"/>
      </w:pPr>
      <w:r>
        <w:rPr>
          <w:rFonts w:ascii="Times New Roman" w:hAnsi="Times New Roman" w:eastAsia="宋体" w:cs="Times New Roman"/>
          <w:color w:val="000000"/>
          <w:sz w:val="24"/>
          <w:szCs w:val="24"/>
        </w:rPr>
        <w:t>以下表格清晰列明双方的权利和义务：</w:t>
      </w:r>
    </w:p>
    <w:p w14:paraId="46900369">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2000"/>
        <w:gridCol w:w="3513"/>
        <w:gridCol w:w="3513"/>
      </w:tblGrid>
      <w:tr w14:paraId="6366623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2000" w:type="dxa"/>
            <w:tcBorders>
              <w:bottom w:val="single" w:color="000000" w:sz="6" w:space="0"/>
            </w:tcBorders>
            <w:vAlign w:val="center"/>
          </w:tcPr>
          <w:p w14:paraId="0FC42F59">
            <w:pPr>
              <w:spacing w:before="60" w:after="60"/>
              <w:jc w:val="center"/>
            </w:pPr>
            <w:r>
              <w:rPr>
                <w:rFonts w:ascii="Times New Roman" w:hAnsi="Times New Roman" w:eastAsia="宋体" w:cs="Times New Roman"/>
                <w:b/>
                <w:bCs/>
                <w:color w:val="000000"/>
                <w:sz w:val="22"/>
                <w:szCs w:val="22"/>
              </w:rPr>
              <w:t>事项</w:t>
            </w:r>
          </w:p>
        </w:tc>
        <w:tc>
          <w:tcPr>
            <w:tcW w:w="3513" w:type="dxa"/>
            <w:tcBorders>
              <w:bottom w:val="single" w:color="000000" w:sz="6" w:space="0"/>
            </w:tcBorders>
            <w:vAlign w:val="center"/>
          </w:tcPr>
          <w:p w14:paraId="0C3131A8">
            <w:pPr>
              <w:spacing w:before="60" w:after="60"/>
              <w:jc w:val="center"/>
            </w:pPr>
            <w:r>
              <w:rPr>
                <w:rFonts w:ascii="Times New Roman" w:hAnsi="Times New Roman" w:eastAsia="宋体" w:cs="Times New Roman"/>
                <w:b/>
                <w:bCs/>
                <w:color w:val="000000"/>
                <w:sz w:val="22"/>
                <w:szCs w:val="22"/>
              </w:rPr>
              <w:t>南山管委会</w:t>
            </w:r>
          </w:p>
        </w:tc>
        <w:tc>
          <w:tcPr>
            <w:tcW w:w="3513" w:type="dxa"/>
            <w:tcBorders>
              <w:bottom w:val="single" w:color="000000" w:sz="6" w:space="0"/>
            </w:tcBorders>
            <w:vAlign w:val="center"/>
          </w:tcPr>
          <w:p w14:paraId="233FD7DE">
            <w:pPr>
              <w:spacing w:before="60" w:after="60"/>
              <w:jc w:val="center"/>
            </w:pPr>
            <w:r>
              <w:rPr>
                <w:rFonts w:ascii="Times New Roman" w:hAnsi="Times New Roman" w:eastAsia="宋体" w:cs="Times New Roman"/>
                <w:b/>
                <w:bCs/>
                <w:color w:val="000000"/>
                <w:sz w:val="22"/>
                <w:szCs w:val="22"/>
              </w:rPr>
              <w:t>上海森兰</w:t>
            </w:r>
          </w:p>
        </w:tc>
      </w:tr>
      <w:tr w14:paraId="5A56AE3A">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000" w:type="dxa"/>
            <w:tcBorders>
              <w:bottom w:val="single" w:color="000000" w:sz="4" w:space="0"/>
            </w:tcBorders>
            <w:vAlign w:val="center"/>
          </w:tcPr>
          <w:p w14:paraId="50F00CBF">
            <w:pPr>
              <w:spacing w:before="50" w:after="50"/>
              <w:jc w:val="left"/>
            </w:pPr>
            <w:r>
              <w:rPr>
                <w:rFonts w:ascii="Times New Roman" w:hAnsi="Times New Roman" w:eastAsia="宋体" w:cs="Times New Roman"/>
                <w:b w:val="0"/>
                <w:bCs w:val="0"/>
                <w:color w:val="000000"/>
                <w:sz w:val="22"/>
                <w:szCs w:val="22"/>
              </w:rPr>
              <w:t>土地提供</w:t>
            </w:r>
          </w:p>
        </w:tc>
        <w:tc>
          <w:tcPr>
            <w:tcW w:w="3513" w:type="dxa"/>
            <w:tcBorders>
              <w:bottom w:val="single" w:color="000000" w:sz="4" w:space="0"/>
            </w:tcBorders>
            <w:vAlign w:val="center"/>
          </w:tcPr>
          <w:p w14:paraId="4DA00632">
            <w:pPr>
              <w:spacing w:before="50" w:after="50"/>
              <w:jc w:val="left"/>
            </w:pPr>
            <w:r>
              <w:rPr>
                <w:rFonts w:ascii="Times New Roman" w:hAnsi="Times New Roman" w:eastAsia="宋体" w:cs="Times New Roman"/>
                <w:b w:val="0"/>
                <w:bCs w:val="0"/>
                <w:color w:val="000000"/>
                <w:sz w:val="22"/>
                <w:szCs w:val="22"/>
              </w:rPr>
              <w:t>提供约2.1万㎡土地使用权</w:t>
            </w:r>
          </w:p>
        </w:tc>
        <w:tc>
          <w:tcPr>
            <w:tcW w:w="3513" w:type="dxa"/>
            <w:tcBorders>
              <w:bottom w:val="single" w:color="000000" w:sz="4" w:space="0"/>
            </w:tcBorders>
            <w:vAlign w:val="center"/>
          </w:tcPr>
          <w:p w14:paraId="1710DFBF">
            <w:pPr>
              <w:spacing w:before="50" w:after="50"/>
              <w:jc w:val="left"/>
            </w:pPr>
            <w:r>
              <w:rPr>
                <w:rFonts w:ascii="Times New Roman" w:hAnsi="Times New Roman" w:eastAsia="宋体" w:cs="Times New Roman"/>
                <w:b w:val="0"/>
                <w:bCs w:val="0"/>
                <w:color w:val="000000"/>
                <w:sz w:val="22"/>
                <w:szCs w:val="22"/>
              </w:rPr>
              <w:t>—</w:t>
            </w:r>
          </w:p>
        </w:tc>
      </w:tr>
      <w:tr w14:paraId="103DEE75">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000" w:type="dxa"/>
            <w:tcBorders>
              <w:bottom w:val="single" w:color="000000" w:sz="4" w:space="0"/>
            </w:tcBorders>
            <w:vAlign w:val="center"/>
          </w:tcPr>
          <w:p w14:paraId="753F6EAC">
            <w:pPr>
              <w:spacing w:before="50" w:after="50"/>
              <w:jc w:val="left"/>
            </w:pPr>
            <w:r>
              <w:rPr>
                <w:rFonts w:ascii="Times New Roman" w:hAnsi="Times New Roman" w:eastAsia="宋体" w:cs="Times New Roman"/>
                <w:b w:val="0"/>
                <w:bCs w:val="0"/>
                <w:color w:val="000000"/>
                <w:sz w:val="22"/>
                <w:szCs w:val="22"/>
              </w:rPr>
              <w:t>报批手续</w:t>
            </w:r>
          </w:p>
        </w:tc>
        <w:tc>
          <w:tcPr>
            <w:tcW w:w="3513" w:type="dxa"/>
            <w:tcBorders>
              <w:bottom w:val="single" w:color="000000" w:sz="4" w:space="0"/>
            </w:tcBorders>
            <w:vAlign w:val="center"/>
          </w:tcPr>
          <w:p w14:paraId="28078F0E">
            <w:pPr>
              <w:spacing w:before="50" w:after="50"/>
              <w:jc w:val="left"/>
            </w:pPr>
            <w:r>
              <w:rPr>
                <w:rFonts w:ascii="Times New Roman" w:hAnsi="Times New Roman" w:eastAsia="宋体" w:cs="Times New Roman"/>
                <w:b w:val="0"/>
                <w:bCs w:val="0"/>
                <w:color w:val="000000"/>
                <w:sz w:val="22"/>
                <w:szCs w:val="22"/>
              </w:rPr>
              <w:t>负责协调政府各部门报批</w:t>
            </w:r>
          </w:p>
        </w:tc>
        <w:tc>
          <w:tcPr>
            <w:tcW w:w="3513" w:type="dxa"/>
            <w:tcBorders>
              <w:bottom w:val="single" w:color="000000" w:sz="4" w:space="0"/>
            </w:tcBorders>
            <w:vAlign w:val="center"/>
          </w:tcPr>
          <w:p w14:paraId="4B1B6A2C">
            <w:pPr>
              <w:spacing w:before="50" w:after="50"/>
              <w:jc w:val="left"/>
            </w:pPr>
            <w:r>
              <w:rPr>
                <w:rFonts w:ascii="Times New Roman" w:hAnsi="Times New Roman" w:eastAsia="宋体" w:cs="Times New Roman"/>
                <w:b w:val="0"/>
                <w:bCs w:val="0"/>
                <w:color w:val="000000"/>
                <w:sz w:val="22"/>
                <w:szCs w:val="22"/>
              </w:rPr>
              <w:t>配合提供相关资料</w:t>
            </w:r>
          </w:p>
        </w:tc>
      </w:tr>
      <w:tr w14:paraId="7FB933D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000" w:type="dxa"/>
            <w:tcBorders>
              <w:bottom w:val="single" w:color="000000" w:sz="4" w:space="0"/>
            </w:tcBorders>
            <w:vAlign w:val="center"/>
          </w:tcPr>
          <w:p w14:paraId="7DCBB653">
            <w:pPr>
              <w:spacing w:before="50" w:after="50"/>
              <w:jc w:val="left"/>
            </w:pPr>
            <w:r>
              <w:rPr>
                <w:rFonts w:ascii="Times New Roman" w:hAnsi="Times New Roman" w:eastAsia="宋体" w:cs="Times New Roman"/>
                <w:b w:val="0"/>
                <w:bCs w:val="0"/>
                <w:color w:val="000000"/>
                <w:sz w:val="22"/>
                <w:szCs w:val="22"/>
              </w:rPr>
              <w:t>项目投资</w:t>
            </w:r>
          </w:p>
        </w:tc>
        <w:tc>
          <w:tcPr>
            <w:tcW w:w="3513" w:type="dxa"/>
            <w:tcBorders>
              <w:bottom w:val="single" w:color="000000" w:sz="4" w:space="0"/>
            </w:tcBorders>
            <w:vAlign w:val="center"/>
          </w:tcPr>
          <w:p w14:paraId="1419B1CC">
            <w:pPr>
              <w:spacing w:before="50" w:after="50"/>
              <w:jc w:val="left"/>
            </w:pPr>
            <w:r>
              <w:rPr>
                <w:rFonts w:ascii="Times New Roman" w:hAnsi="Times New Roman" w:eastAsia="宋体" w:cs="Times New Roman"/>
                <w:b w:val="0"/>
                <w:bCs w:val="0"/>
                <w:color w:val="000000"/>
                <w:sz w:val="22"/>
                <w:szCs w:val="22"/>
              </w:rPr>
              <w:t>—</w:t>
            </w:r>
          </w:p>
        </w:tc>
        <w:tc>
          <w:tcPr>
            <w:tcW w:w="3513" w:type="dxa"/>
            <w:tcBorders>
              <w:bottom w:val="single" w:color="000000" w:sz="4" w:space="0"/>
            </w:tcBorders>
            <w:vAlign w:val="center"/>
          </w:tcPr>
          <w:p w14:paraId="1539522E">
            <w:pPr>
              <w:spacing w:before="50" w:after="50"/>
              <w:jc w:val="left"/>
            </w:pPr>
            <w:r>
              <w:rPr>
                <w:rFonts w:ascii="Times New Roman" w:hAnsi="Times New Roman" w:eastAsia="宋体" w:cs="Times New Roman"/>
                <w:b w:val="0"/>
                <w:bCs w:val="0"/>
                <w:color w:val="000000"/>
                <w:sz w:val="22"/>
                <w:szCs w:val="22"/>
              </w:rPr>
              <w:t>全额投入约1500万元</w:t>
            </w:r>
          </w:p>
        </w:tc>
      </w:tr>
      <w:tr w14:paraId="6A413753">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000" w:type="dxa"/>
            <w:tcBorders>
              <w:bottom w:val="single" w:color="000000" w:sz="4" w:space="0"/>
            </w:tcBorders>
            <w:vAlign w:val="center"/>
          </w:tcPr>
          <w:p w14:paraId="6138C886">
            <w:pPr>
              <w:spacing w:before="50" w:after="50"/>
              <w:jc w:val="left"/>
            </w:pPr>
            <w:r>
              <w:rPr>
                <w:rFonts w:ascii="Times New Roman" w:hAnsi="Times New Roman" w:eastAsia="宋体" w:cs="Times New Roman"/>
                <w:b w:val="0"/>
                <w:bCs w:val="0"/>
                <w:color w:val="000000"/>
                <w:sz w:val="22"/>
                <w:szCs w:val="22"/>
              </w:rPr>
              <w:t>策划规划</w:t>
            </w:r>
          </w:p>
        </w:tc>
        <w:tc>
          <w:tcPr>
            <w:tcW w:w="3513" w:type="dxa"/>
            <w:tcBorders>
              <w:bottom w:val="single" w:color="000000" w:sz="4" w:space="0"/>
            </w:tcBorders>
            <w:vAlign w:val="center"/>
          </w:tcPr>
          <w:p w14:paraId="039B6E1D">
            <w:pPr>
              <w:spacing w:before="50" w:after="50"/>
              <w:jc w:val="left"/>
            </w:pPr>
            <w:r>
              <w:rPr>
                <w:rFonts w:ascii="Times New Roman" w:hAnsi="Times New Roman" w:eastAsia="宋体" w:cs="Times New Roman"/>
                <w:b w:val="0"/>
                <w:bCs w:val="0"/>
                <w:color w:val="000000"/>
                <w:sz w:val="22"/>
                <w:szCs w:val="22"/>
              </w:rPr>
              <w:t>审批确认方案</w:t>
            </w:r>
          </w:p>
        </w:tc>
        <w:tc>
          <w:tcPr>
            <w:tcW w:w="3513" w:type="dxa"/>
            <w:tcBorders>
              <w:bottom w:val="single" w:color="000000" w:sz="4" w:space="0"/>
            </w:tcBorders>
            <w:vAlign w:val="center"/>
          </w:tcPr>
          <w:p w14:paraId="21934862">
            <w:pPr>
              <w:spacing w:before="50" w:after="50"/>
              <w:jc w:val="left"/>
            </w:pPr>
            <w:r>
              <w:rPr>
                <w:rFonts w:ascii="Times New Roman" w:hAnsi="Times New Roman" w:eastAsia="宋体" w:cs="Times New Roman"/>
                <w:b w:val="0"/>
                <w:bCs w:val="0"/>
                <w:color w:val="000000"/>
                <w:sz w:val="22"/>
                <w:szCs w:val="22"/>
              </w:rPr>
              <w:t>负责策划规划设计</w:t>
            </w:r>
          </w:p>
        </w:tc>
      </w:tr>
      <w:tr w14:paraId="6040D1ED">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000" w:type="dxa"/>
            <w:tcBorders>
              <w:bottom w:val="single" w:color="000000" w:sz="4" w:space="0"/>
            </w:tcBorders>
            <w:vAlign w:val="center"/>
          </w:tcPr>
          <w:p w14:paraId="43762FC0">
            <w:pPr>
              <w:spacing w:before="50" w:after="50"/>
              <w:jc w:val="left"/>
            </w:pPr>
            <w:r>
              <w:rPr>
                <w:rFonts w:ascii="Times New Roman" w:hAnsi="Times New Roman" w:eastAsia="宋体" w:cs="Times New Roman"/>
                <w:b w:val="0"/>
                <w:bCs w:val="0"/>
                <w:color w:val="000000"/>
                <w:sz w:val="22"/>
                <w:szCs w:val="22"/>
              </w:rPr>
              <w:t>场地建设</w:t>
            </w:r>
          </w:p>
        </w:tc>
        <w:tc>
          <w:tcPr>
            <w:tcW w:w="3513" w:type="dxa"/>
            <w:tcBorders>
              <w:bottom w:val="single" w:color="000000" w:sz="4" w:space="0"/>
            </w:tcBorders>
            <w:vAlign w:val="center"/>
          </w:tcPr>
          <w:p w14:paraId="4F744799">
            <w:pPr>
              <w:spacing w:before="50" w:after="50"/>
              <w:jc w:val="left"/>
            </w:pPr>
            <w:r>
              <w:rPr>
                <w:rFonts w:ascii="Times New Roman" w:hAnsi="Times New Roman" w:eastAsia="宋体" w:cs="Times New Roman"/>
                <w:b w:val="0"/>
                <w:bCs w:val="0"/>
                <w:color w:val="000000"/>
                <w:sz w:val="22"/>
                <w:szCs w:val="22"/>
              </w:rPr>
              <w:t>监督建设质量</w:t>
            </w:r>
          </w:p>
        </w:tc>
        <w:tc>
          <w:tcPr>
            <w:tcW w:w="3513" w:type="dxa"/>
            <w:tcBorders>
              <w:bottom w:val="single" w:color="000000" w:sz="4" w:space="0"/>
            </w:tcBorders>
            <w:vAlign w:val="center"/>
          </w:tcPr>
          <w:p w14:paraId="0B34EE49">
            <w:pPr>
              <w:spacing w:before="50" w:after="50"/>
              <w:jc w:val="left"/>
            </w:pPr>
            <w:r>
              <w:rPr>
                <w:rFonts w:ascii="Times New Roman" w:hAnsi="Times New Roman" w:eastAsia="宋体" w:cs="Times New Roman"/>
                <w:b w:val="0"/>
                <w:bCs w:val="0"/>
                <w:color w:val="000000"/>
                <w:sz w:val="22"/>
                <w:szCs w:val="22"/>
              </w:rPr>
              <w:t>负责全部建设施工</w:t>
            </w:r>
          </w:p>
        </w:tc>
      </w:tr>
      <w:tr w14:paraId="14FE9634">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000" w:type="dxa"/>
            <w:tcBorders>
              <w:bottom w:val="single" w:color="000000" w:sz="4" w:space="0"/>
            </w:tcBorders>
            <w:vAlign w:val="center"/>
          </w:tcPr>
          <w:p w14:paraId="1423F9B1">
            <w:pPr>
              <w:spacing w:before="50" w:after="50"/>
              <w:jc w:val="left"/>
            </w:pPr>
            <w:r>
              <w:rPr>
                <w:rFonts w:ascii="Times New Roman" w:hAnsi="Times New Roman" w:eastAsia="宋体" w:cs="Times New Roman"/>
                <w:b w:val="0"/>
                <w:bCs w:val="0"/>
                <w:color w:val="000000"/>
                <w:sz w:val="22"/>
                <w:szCs w:val="22"/>
              </w:rPr>
              <w:t>运营管理</w:t>
            </w:r>
          </w:p>
        </w:tc>
        <w:tc>
          <w:tcPr>
            <w:tcW w:w="3513" w:type="dxa"/>
            <w:tcBorders>
              <w:bottom w:val="single" w:color="000000" w:sz="4" w:space="0"/>
            </w:tcBorders>
            <w:vAlign w:val="center"/>
          </w:tcPr>
          <w:p w14:paraId="643CDD9F">
            <w:pPr>
              <w:spacing w:before="50" w:after="50"/>
              <w:jc w:val="left"/>
            </w:pPr>
            <w:r>
              <w:rPr>
                <w:rFonts w:ascii="Times New Roman" w:hAnsi="Times New Roman" w:eastAsia="宋体" w:cs="Times New Roman"/>
                <w:b w:val="0"/>
                <w:bCs w:val="0"/>
                <w:color w:val="000000"/>
                <w:sz w:val="22"/>
                <w:szCs w:val="22"/>
              </w:rPr>
              <w:t>监督运营品质</w:t>
            </w:r>
          </w:p>
        </w:tc>
        <w:tc>
          <w:tcPr>
            <w:tcW w:w="3513" w:type="dxa"/>
            <w:tcBorders>
              <w:bottom w:val="single" w:color="000000" w:sz="4" w:space="0"/>
            </w:tcBorders>
            <w:vAlign w:val="center"/>
          </w:tcPr>
          <w:p w14:paraId="418259AA">
            <w:pPr>
              <w:spacing w:before="50" w:after="50"/>
              <w:jc w:val="left"/>
            </w:pPr>
            <w:r>
              <w:rPr>
                <w:rFonts w:ascii="Times New Roman" w:hAnsi="Times New Roman" w:eastAsia="宋体" w:cs="Times New Roman"/>
                <w:b w:val="0"/>
                <w:bCs w:val="0"/>
                <w:color w:val="000000"/>
                <w:sz w:val="22"/>
                <w:szCs w:val="22"/>
              </w:rPr>
              <w:t>独立运营管理</w:t>
            </w:r>
          </w:p>
        </w:tc>
      </w:tr>
      <w:tr w14:paraId="5F07F0E4">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000" w:type="dxa"/>
            <w:tcBorders>
              <w:bottom w:val="single" w:color="000000" w:sz="4" w:space="0"/>
            </w:tcBorders>
            <w:vAlign w:val="center"/>
          </w:tcPr>
          <w:p w14:paraId="4F0DD62D">
            <w:pPr>
              <w:spacing w:before="50" w:after="50"/>
              <w:jc w:val="left"/>
            </w:pPr>
            <w:r>
              <w:rPr>
                <w:rFonts w:ascii="Times New Roman" w:hAnsi="Times New Roman" w:eastAsia="宋体" w:cs="Times New Roman"/>
                <w:b w:val="0"/>
                <w:bCs w:val="0"/>
                <w:color w:val="000000"/>
                <w:sz w:val="22"/>
                <w:szCs w:val="22"/>
              </w:rPr>
              <w:t>赛事资源</w:t>
            </w:r>
          </w:p>
        </w:tc>
        <w:tc>
          <w:tcPr>
            <w:tcW w:w="3513" w:type="dxa"/>
            <w:tcBorders>
              <w:bottom w:val="single" w:color="000000" w:sz="4" w:space="0"/>
            </w:tcBorders>
            <w:vAlign w:val="center"/>
          </w:tcPr>
          <w:p w14:paraId="59E1F7B4">
            <w:pPr>
              <w:spacing w:before="50" w:after="50"/>
              <w:jc w:val="left"/>
            </w:pPr>
            <w:r>
              <w:rPr>
                <w:rFonts w:ascii="Times New Roman" w:hAnsi="Times New Roman" w:eastAsia="宋体" w:cs="Times New Roman"/>
                <w:b w:val="0"/>
                <w:bCs w:val="0"/>
                <w:color w:val="000000"/>
                <w:sz w:val="22"/>
                <w:szCs w:val="22"/>
              </w:rPr>
              <w:t>支持赛事审批</w:t>
            </w:r>
          </w:p>
        </w:tc>
        <w:tc>
          <w:tcPr>
            <w:tcW w:w="3513" w:type="dxa"/>
            <w:tcBorders>
              <w:bottom w:val="single" w:color="000000" w:sz="4" w:space="0"/>
            </w:tcBorders>
            <w:vAlign w:val="center"/>
          </w:tcPr>
          <w:p w14:paraId="5159D937">
            <w:pPr>
              <w:spacing w:before="50" w:after="50"/>
              <w:jc w:val="left"/>
            </w:pPr>
            <w:r>
              <w:rPr>
                <w:rFonts w:ascii="Times New Roman" w:hAnsi="Times New Roman" w:eastAsia="宋体" w:cs="Times New Roman"/>
                <w:b w:val="0"/>
                <w:bCs w:val="0"/>
                <w:color w:val="000000"/>
                <w:sz w:val="22"/>
                <w:szCs w:val="22"/>
              </w:rPr>
              <w:t>引入赛事、培训资源</w:t>
            </w:r>
          </w:p>
        </w:tc>
      </w:tr>
      <w:tr w14:paraId="537E12CA">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000" w:type="dxa"/>
            <w:tcBorders>
              <w:bottom w:val="single" w:color="000000" w:sz="4" w:space="0"/>
            </w:tcBorders>
            <w:vAlign w:val="center"/>
          </w:tcPr>
          <w:p w14:paraId="3BF49622">
            <w:pPr>
              <w:spacing w:before="50" w:after="50"/>
              <w:jc w:val="left"/>
            </w:pPr>
            <w:r>
              <w:rPr>
                <w:rFonts w:ascii="Times New Roman" w:hAnsi="Times New Roman" w:eastAsia="宋体" w:cs="Times New Roman"/>
                <w:b w:val="0"/>
                <w:bCs w:val="0"/>
                <w:color w:val="000000"/>
                <w:sz w:val="22"/>
                <w:szCs w:val="22"/>
              </w:rPr>
              <w:t>土地恢复</w:t>
            </w:r>
          </w:p>
        </w:tc>
        <w:tc>
          <w:tcPr>
            <w:tcW w:w="3513" w:type="dxa"/>
            <w:tcBorders>
              <w:bottom w:val="single" w:color="000000" w:sz="4" w:space="0"/>
            </w:tcBorders>
            <w:vAlign w:val="center"/>
          </w:tcPr>
          <w:p w14:paraId="766DA0EE">
            <w:pPr>
              <w:spacing w:before="50" w:after="50"/>
              <w:jc w:val="left"/>
            </w:pPr>
            <w:r>
              <w:rPr>
                <w:rFonts w:ascii="Times New Roman" w:hAnsi="Times New Roman" w:eastAsia="宋体" w:cs="Times New Roman"/>
                <w:b w:val="0"/>
                <w:bCs w:val="0"/>
                <w:color w:val="000000"/>
                <w:sz w:val="22"/>
                <w:szCs w:val="22"/>
              </w:rPr>
              <w:t>验收恢复质量</w:t>
            </w:r>
          </w:p>
        </w:tc>
        <w:tc>
          <w:tcPr>
            <w:tcW w:w="3513" w:type="dxa"/>
            <w:tcBorders>
              <w:bottom w:val="single" w:color="000000" w:sz="4" w:space="0"/>
            </w:tcBorders>
            <w:vAlign w:val="center"/>
          </w:tcPr>
          <w:p w14:paraId="06CA6C58">
            <w:pPr>
              <w:spacing w:before="50" w:after="50"/>
              <w:jc w:val="left"/>
            </w:pPr>
            <w:r>
              <w:rPr>
                <w:rFonts w:ascii="Times New Roman" w:hAnsi="Times New Roman" w:eastAsia="宋体" w:cs="Times New Roman"/>
                <w:b w:val="0"/>
                <w:bCs w:val="0"/>
                <w:color w:val="000000"/>
                <w:sz w:val="22"/>
                <w:szCs w:val="22"/>
              </w:rPr>
              <w:t>合约到期后恢复原状</w:t>
            </w:r>
          </w:p>
        </w:tc>
      </w:tr>
    </w:tbl>
    <w:p w14:paraId="4032740A">
      <w:pPr>
        <w:spacing w:before="60" w:after="160"/>
      </w:pPr>
    </w:p>
    <w:p w14:paraId="7B54D9F9">
      <w:pPr>
        <w:pStyle w:val="3"/>
        <w:keepNext/>
        <w:keepLines/>
      </w:pPr>
      <w:r>
        <w:t>6.4 风险共担机制</w:t>
      </w:r>
    </w:p>
    <w:p w14:paraId="207CED72">
      <w:pPr>
        <w:spacing w:before="80" w:after="80" w:line="360" w:lineRule="auto"/>
        <w:ind w:firstLine="480"/>
        <w:jc w:val="both"/>
      </w:pPr>
      <w:r>
        <w:rPr>
          <w:rFonts w:ascii="Times New Roman" w:hAnsi="Times New Roman" w:eastAsia="宋体" w:cs="Times New Roman"/>
          <w:color w:val="000000"/>
          <w:sz w:val="24"/>
          <w:szCs w:val="24"/>
        </w:rPr>
        <w:t>政策风险方面，如遇国家政策重大调整导致项目无法继续运营，双方协商解决，上海森兰负责设施设备迁移，土地归还管委会。市场风险方面，如因市场环境发生重大不利变化，双方共同研判调整经营策略，必要时协商调整合作条件。不可抗力方面，因自然灾害等不可抗力因素造成的损失，双方各自承担己方损失，共同协商恢复方案。</w:t>
      </w:r>
    </w:p>
    <w:p w14:paraId="2098BCC8">
      <w:pPr>
        <w:pStyle w:val="2"/>
        <w:keepNext/>
        <w:keepLines/>
      </w:pPr>
      <w:r>
        <w:t>第七章 投资计划与时间表</w:t>
      </w:r>
    </w:p>
    <w:p w14:paraId="5B56680E">
      <w:pPr>
        <w:spacing w:before="80" w:after="80" w:line="360" w:lineRule="auto"/>
        <w:ind w:firstLine="480"/>
        <w:jc w:val="both"/>
      </w:pPr>
      <w:r>
        <w:rPr>
          <w:rFonts w:ascii="Times New Roman" w:hAnsi="Times New Roman" w:eastAsia="宋体" w:cs="Times New Roman"/>
          <w:color w:val="000000"/>
          <w:sz w:val="24"/>
          <w:szCs w:val="24"/>
        </w:rPr>
        <w:t>本章详细说明项目的投资分配和建设时间表，让管委会清晰了解资金去向和建设节奏。</w:t>
      </w:r>
    </w:p>
    <w:p w14:paraId="181FB1B5">
      <w:pPr>
        <w:pStyle w:val="3"/>
        <w:keepNext/>
        <w:keepLines/>
      </w:pPr>
      <w:r>
        <w:t>7.1 投资分配</w:t>
      </w:r>
    </w:p>
    <w:p w14:paraId="489D7250">
      <w:pPr>
        <w:spacing w:before="80" w:after="80" w:line="360" w:lineRule="auto"/>
        <w:ind w:firstLine="480"/>
        <w:jc w:val="both"/>
      </w:pPr>
      <w:r>
        <w:rPr>
          <w:rFonts w:ascii="Times New Roman" w:hAnsi="Times New Roman" w:eastAsia="宋体" w:cs="Times New Roman"/>
          <w:color w:val="000000"/>
          <w:sz w:val="24"/>
          <w:szCs w:val="24"/>
        </w:rPr>
        <w:t>项目总投资约1500万元，具体分配如下：</w:t>
      </w:r>
    </w:p>
    <w:p w14:paraId="70CAB076">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2400"/>
        <w:gridCol w:w="1800"/>
        <w:gridCol w:w="1200"/>
        <w:gridCol w:w="3626"/>
      </w:tblGrid>
      <w:tr w14:paraId="4EFB6A41">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2400" w:type="dxa"/>
            <w:tcBorders>
              <w:bottom w:val="single" w:color="000000" w:sz="6" w:space="0"/>
            </w:tcBorders>
            <w:vAlign w:val="center"/>
          </w:tcPr>
          <w:p w14:paraId="682D9BB9">
            <w:pPr>
              <w:spacing w:before="60" w:after="60"/>
              <w:jc w:val="center"/>
            </w:pPr>
            <w:r>
              <w:rPr>
                <w:rFonts w:ascii="Times New Roman" w:hAnsi="Times New Roman" w:eastAsia="宋体" w:cs="Times New Roman"/>
                <w:b/>
                <w:bCs/>
                <w:color w:val="000000"/>
                <w:sz w:val="22"/>
                <w:szCs w:val="22"/>
              </w:rPr>
              <w:t>投资项目</w:t>
            </w:r>
          </w:p>
        </w:tc>
        <w:tc>
          <w:tcPr>
            <w:tcW w:w="1800" w:type="dxa"/>
            <w:tcBorders>
              <w:bottom w:val="single" w:color="000000" w:sz="6" w:space="0"/>
            </w:tcBorders>
            <w:vAlign w:val="center"/>
          </w:tcPr>
          <w:p w14:paraId="028D7EC0">
            <w:pPr>
              <w:spacing w:before="60" w:after="60"/>
              <w:jc w:val="center"/>
            </w:pPr>
            <w:r>
              <w:rPr>
                <w:rFonts w:ascii="Times New Roman" w:hAnsi="Times New Roman" w:eastAsia="宋体" w:cs="Times New Roman"/>
                <w:b/>
                <w:bCs/>
                <w:color w:val="000000"/>
                <w:sz w:val="22"/>
                <w:szCs w:val="22"/>
              </w:rPr>
              <w:t>金额（万元）</w:t>
            </w:r>
          </w:p>
        </w:tc>
        <w:tc>
          <w:tcPr>
            <w:tcW w:w="1200" w:type="dxa"/>
            <w:tcBorders>
              <w:bottom w:val="single" w:color="000000" w:sz="6" w:space="0"/>
            </w:tcBorders>
            <w:vAlign w:val="center"/>
          </w:tcPr>
          <w:p w14:paraId="2DA30A5A">
            <w:pPr>
              <w:spacing w:before="60" w:after="60"/>
              <w:jc w:val="center"/>
            </w:pPr>
            <w:r>
              <w:rPr>
                <w:rFonts w:ascii="Times New Roman" w:hAnsi="Times New Roman" w:eastAsia="宋体" w:cs="Times New Roman"/>
                <w:b/>
                <w:bCs/>
                <w:color w:val="000000"/>
                <w:sz w:val="22"/>
                <w:szCs w:val="22"/>
              </w:rPr>
              <w:t>占比</w:t>
            </w:r>
          </w:p>
        </w:tc>
        <w:tc>
          <w:tcPr>
            <w:tcW w:w="3626" w:type="dxa"/>
            <w:tcBorders>
              <w:bottom w:val="single" w:color="000000" w:sz="6" w:space="0"/>
            </w:tcBorders>
            <w:vAlign w:val="center"/>
          </w:tcPr>
          <w:p w14:paraId="66D342FA">
            <w:pPr>
              <w:spacing w:before="60" w:after="60"/>
              <w:jc w:val="center"/>
            </w:pPr>
            <w:r>
              <w:rPr>
                <w:rFonts w:ascii="Times New Roman" w:hAnsi="Times New Roman" w:eastAsia="宋体" w:cs="Times New Roman"/>
                <w:b/>
                <w:bCs/>
                <w:color w:val="000000"/>
                <w:sz w:val="22"/>
                <w:szCs w:val="22"/>
              </w:rPr>
              <w:t>说明</w:t>
            </w:r>
          </w:p>
        </w:tc>
      </w:tr>
      <w:tr w14:paraId="09A8370A">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1F520D61">
            <w:pPr>
              <w:spacing w:before="50" w:after="50"/>
              <w:jc w:val="left"/>
            </w:pPr>
            <w:r>
              <w:rPr>
                <w:rFonts w:ascii="Times New Roman" w:hAnsi="Times New Roman" w:eastAsia="宋体" w:cs="Times New Roman"/>
                <w:b w:val="0"/>
                <w:bCs w:val="0"/>
                <w:color w:val="000000"/>
                <w:sz w:val="22"/>
                <w:szCs w:val="22"/>
              </w:rPr>
              <w:t>土地平整及基础设施</w:t>
            </w:r>
          </w:p>
        </w:tc>
        <w:tc>
          <w:tcPr>
            <w:tcW w:w="1800" w:type="dxa"/>
            <w:tcBorders>
              <w:bottom w:val="single" w:color="000000" w:sz="4" w:space="0"/>
            </w:tcBorders>
            <w:vAlign w:val="center"/>
          </w:tcPr>
          <w:p w14:paraId="790A6CFE">
            <w:pPr>
              <w:spacing w:before="50" w:after="50"/>
              <w:jc w:val="left"/>
            </w:pPr>
            <w:r>
              <w:rPr>
                <w:rFonts w:ascii="Times New Roman" w:hAnsi="Times New Roman" w:eastAsia="宋体" w:cs="Times New Roman"/>
                <w:b w:val="0"/>
                <w:bCs w:val="0"/>
                <w:color w:val="000000"/>
                <w:sz w:val="22"/>
                <w:szCs w:val="22"/>
              </w:rPr>
              <w:t>200-250</w:t>
            </w:r>
          </w:p>
        </w:tc>
        <w:tc>
          <w:tcPr>
            <w:tcW w:w="1200" w:type="dxa"/>
            <w:tcBorders>
              <w:bottom w:val="single" w:color="000000" w:sz="4" w:space="0"/>
            </w:tcBorders>
            <w:vAlign w:val="center"/>
          </w:tcPr>
          <w:p w14:paraId="0A003395">
            <w:pPr>
              <w:spacing w:before="50" w:after="50"/>
              <w:jc w:val="left"/>
            </w:pPr>
            <w:r>
              <w:rPr>
                <w:rFonts w:ascii="Times New Roman" w:hAnsi="Times New Roman" w:eastAsia="宋体" w:cs="Times New Roman"/>
                <w:b w:val="0"/>
                <w:bCs w:val="0"/>
                <w:color w:val="000000"/>
                <w:sz w:val="22"/>
                <w:szCs w:val="22"/>
              </w:rPr>
              <w:t>13%-17%</w:t>
            </w:r>
          </w:p>
        </w:tc>
        <w:tc>
          <w:tcPr>
            <w:tcW w:w="3626" w:type="dxa"/>
            <w:tcBorders>
              <w:bottom w:val="single" w:color="000000" w:sz="4" w:space="0"/>
            </w:tcBorders>
            <w:vAlign w:val="center"/>
          </w:tcPr>
          <w:p w14:paraId="47F6091C">
            <w:pPr>
              <w:spacing w:before="50" w:after="50"/>
              <w:jc w:val="left"/>
            </w:pPr>
            <w:r>
              <w:rPr>
                <w:rFonts w:ascii="Times New Roman" w:hAnsi="Times New Roman" w:eastAsia="宋体" w:cs="Times New Roman"/>
                <w:b w:val="0"/>
                <w:bCs w:val="0"/>
                <w:color w:val="000000"/>
                <w:sz w:val="22"/>
                <w:szCs w:val="22"/>
              </w:rPr>
              <w:t>由上海森兰负责场地平整（含填平水域、消除高差）、排水、电力等</w:t>
            </w:r>
          </w:p>
        </w:tc>
      </w:tr>
      <w:tr w14:paraId="549A551F">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59190490">
            <w:pPr>
              <w:spacing w:before="50" w:after="50"/>
              <w:jc w:val="left"/>
            </w:pPr>
            <w:r>
              <w:rPr>
                <w:rFonts w:ascii="Times New Roman" w:hAnsi="Times New Roman" w:eastAsia="宋体" w:cs="Times New Roman"/>
                <w:b w:val="0"/>
                <w:bCs w:val="0"/>
                <w:color w:val="000000"/>
                <w:sz w:val="22"/>
                <w:szCs w:val="22"/>
              </w:rPr>
              <w:t>匹克球场地建设（18片）</w:t>
            </w:r>
          </w:p>
        </w:tc>
        <w:tc>
          <w:tcPr>
            <w:tcW w:w="1800" w:type="dxa"/>
            <w:tcBorders>
              <w:bottom w:val="single" w:color="000000" w:sz="4" w:space="0"/>
            </w:tcBorders>
            <w:vAlign w:val="center"/>
          </w:tcPr>
          <w:p w14:paraId="5FB2D2DB">
            <w:pPr>
              <w:spacing w:before="50" w:after="50"/>
              <w:jc w:val="left"/>
            </w:pPr>
            <w:r>
              <w:rPr>
                <w:rFonts w:ascii="Times New Roman" w:hAnsi="Times New Roman" w:eastAsia="宋体" w:cs="Times New Roman"/>
                <w:b w:val="0"/>
                <w:bCs w:val="0"/>
                <w:color w:val="000000"/>
                <w:sz w:val="22"/>
                <w:szCs w:val="22"/>
              </w:rPr>
              <w:t>500-600</w:t>
            </w:r>
          </w:p>
        </w:tc>
        <w:tc>
          <w:tcPr>
            <w:tcW w:w="1200" w:type="dxa"/>
            <w:tcBorders>
              <w:bottom w:val="single" w:color="000000" w:sz="4" w:space="0"/>
            </w:tcBorders>
            <w:vAlign w:val="center"/>
          </w:tcPr>
          <w:p w14:paraId="7B4E1C10">
            <w:pPr>
              <w:spacing w:before="50" w:after="50"/>
              <w:jc w:val="left"/>
            </w:pPr>
            <w:r>
              <w:rPr>
                <w:rFonts w:ascii="Times New Roman" w:hAnsi="Times New Roman" w:eastAsia="宋体" w:cs="Times New Roman"/>
                <w:b w:val="0"/>
                <w:bCs w:val="0"/>
                <w:color w:val="000000"/>
                <w:sz w:val="22"/>
                <w:szCs w:val="22"/>
              </w:rPr>
              <w:t>33%-40%</w:t>
            </w:r>
          </w:p>
        </w:tc>
        <w:tc>
          <w:tcPr>
            <w:tcW w:w="3626" w:type="dxa"/>
            <w:tcBorders>
              <w:bottom w:val="single" w:color="000000" w:sz="4" w:space="0"/>
            </w:tcBorders>
            <w:vAlign w:val="center"/>
          </w:tcPr>
          <w:p w14:paraId="7BF576D5">
            <w:pPr>
              <w:spacing w:before="50" w:after="50"/>
              <w:jc w:val="left"/>
            </w:pPr>
            <w:r>
              <w:rPr>
                <w:rFonts w:ascii="Times New Roman" w:hAnsi="Times New Roman" w:eastAsia="宋体" w:cs="Times New Roman"/>
                <w:b w:val="0"/>
                <w:bCs w:val="0"/>
                <w:color w:val="000000"/>
                <w:sz w:val="22"/>
                <w:szCs w:val="22"/>
              </w:rPr>
              <w:t>装配式篷房+地面系统</w:t>
            </w:r>
          </w:p>
        </w:tc>
      </w:tr>
      <w:tr w14:paraId="5DD098AB">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400" w:type="dxa"/>
            <w:tcBorders>
              <w:bottom w:val="single" w:color="000000" w:sz="4" w:space="0"/>
            </w:tcBorders>
            <w:vAlign w:val="center"/>
          </w:tcPr>
          <w:p w14:paraId="61992F64">
            <w:pPr>
              <w:spacing w:before="50" w:after="50"/>
              <w:jc w:val="left"/>
            </w:pPr>
            <w:r>
              <w:rPr>
                <w:rFonts w:ascii="Times New Roman" w:hAnsi="Times New Roman" w:eastAsia="宋体" w:cs="Times New Roman"/>
                <w:b w:val="0"/>
                <w:bCs w:val="0"/>
                <w:color w:val="000000"/>
                <w:sz w:val="22"/>
                <w:szCs w:val="22"/>
              </w:rPr>
              <w:t>网球场地建设（6块）</w:t>
            </w:r>
          </w:p>
        </w:tc>
        <w:tc>
          <w:tcPr>
            <w:tcW w:w="1800" w:type="dxa"/>
            <w:tcBorders>
              <w:bottom w:val="single" w:color="000000" w:sz="4" w:space="0"/>
            </w:tcBorders>
            <w:vAlign w:val="center"/>
          </w:tcPr>
          <w:p w14:paraId="6B4FDA77">
            <w:pPr>
              <w:spacing w:before="50" w:after="50"/>
              <w:jc w:val="left"/>
            </w:pPr>
            <w:r>
              <w:rPr>
                <w:rFonts w:ascii="Times New Roman" w:hAnsi="Times New Roman" w:eastAsia="宋体" w:cs="Times New Roman"/>
                <w:b w:val="0"/>
                <w:bCs w:val="0"/>
                <w:color w:val="000000"/>
                <w:sz w:val="22"/>
                <w:szCs w:val="22"/>
              </w:rPr>
              <w:t>150-200</w:t>
            </w:r>
          </w:p>
        </w:tc>
        <w:tc>
          <w:tcPr>
            <w:tcW w:w="1200" w:type="dxa"/>
            <w:tcBorders>
              <w:bottom w:val="single" w:color="000000" w:sz="4" w:space="0"/>
            </w:tcBorders>
            <w:vAlign w:val="center"/>
          </w:tcPr>
          <w:p w14:paraId="56AB89F5">
            <w:pPr>
              <w:spacing w:before="50" w:after="50"/>
              <w:jc w:val="left"/>
            </w:pPr>
            <w:r>
              <w:rPr>
                <w:rFonts w:ascii="Times New Roman" w:hAnsi="Times New Roman" w:eastAsia="宋体" w:cs="Times New Roman"/>
                <w:b w:val="0"/>
                <w:bCs w:val="0"/>
                <w:color w:val="000000"/>
                <w:sz w:val="22"/>
                <w:szCs w:val="22"/>
              </w:rPr>
              <w:t>10%-13%</w:t>
            </w:r>
          </w:p>
        </w:tc>
        <w:tc>
          <w:tcPr>
            <w:tcW w:w="3626" w:type="dxa"/>
            <w:tcBorders>
              <w:bottom w:val="single" w:color="000000" w:sz="4" w:space="0"/>
            </w:tcBorders>
            <w:vAlign w:val="center"/>
          </w:tcPr>
          <w:p w14:paraId="77D95149">
            <w:pPr>
              <w:spacing w:before="50" w:after="50"/>
              <w:jc w:val="left"/>
            </w:pPr>
            <w:r>
              <w:rPr>
                <w:rFonts w:ascii="Times New Roman" w:hAnsi="Times New Roman" w:eastAsia="宋体" w:cs="Times New Roman"/>
                <w:b w:val="0"/>
                <w:bCs w:val="0"/>
                <w:color w:val="000000"/>
                <w:sz w:val="22"/>
                <w:szCs w:val="22"/>
              </w:rPr>
              <w:t>标准网球场地</w:t>
            </w:r>
          </w:p>
        </w:tc>
      </w:tr>
      <w:tr w14:paraId="38489E88">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492C2E45">
            <w:pPr>
              <w:spacing w:before="50" w:after="50"/>
              <w:jc w:val="left"/>
            </w:pPr>
            <w:r>
              <w:rPr>
                <w:rFonts w:ascii="Times New Roman" w:hAnsi="Times New Roman" w:eastAsia="宋体" w:cs="Times New Roman"/>
                <w:b w:val="0"/>
                <w:bCs w:val="0"/>
                <w:color w:val="000000"/>
                <w:sz w:val="22"/>
                <w:szCs w:val="22"/>
              </w:rPr>
              <w:t>配套设施</w:t>
            </w:r>
          </w:p>
        </w:tc>
        <w:tc>
          <w:tcPr>
            <w:tcW w:w="1800" w:type="dxa"/>
            <w:tcBorders>
              <w:bottom w:val="single" w:color="000000" w:sz="4" w:space="0"/>
            </w:tcBorders>
            <w:vAlign w:val="center"/>
          </w:tcPr>
          <w:p w14:paraId="2AF0A606">
            <w:pPr>
              <w:spacing w:before="50" w:after="50"/>
              <w:jc w:val="left"/>
            </w:pPr>
            <w:r>
              <w:rPr>
                <w:rFonts w:ascii="Times New Roman" w:hAnsi="Times New Roman" w:eastAsia="宋体" w:cs="Times New Roman"/>
                <w:b w:val="0"/>
                <w:bCs w:val="0"/>
                <w:color w:val="000000"/>
                <w:sz w:val="22"/>
                <w:szCs w:val="22"/>
              </w:rPr>
              <w:t>200-250</w:t>
            </w:r>
          </w:p>
        </w:tc>
        <w:tc>
          <w:tcPr>
            <w:tcW w:w="1200" w:type="dxa"/>
            <w:tcBorders>
              <w:bottom w:val="single" w:color="000000" w:sz="4" w:space="0"/>
            </w:tcBorders>
            <w:vAlign w:val="center"/>
          </w:tcPr>
          <w:p w14:paraId="2F12224B">
            <w:pPr>
              <w:spacing w:before="50" w:after="50"/>
              <w:jc w:val="left"/>
            </w:pPr>
            <w:r>
              <w:rPr>
                <w:rFonts w:ascii="Times New Roman" w:hAnsi="Times New Roman" w:eastAsia="宋体" w:cs="Times New Roman"/>
                <w:b w:val="0"/>
                <w:bCs w:val="0"/>
                <w:color w:val="000000"/>
                <w:sz w:val="22"/>
                <w:szCs w:val="22"/>
              </w:rPr>
              <w:t>13%-17%</w:t>
            </w:r>
          </w:p>
        </w:tc>
        <w:tc>
          <w:tcPr>
            <w:tcW w:w="3626" w:type="dxa"/>
            <w:tcBorders>
              <w:bottom w:val="single" w:color="000000" w:sz="4" w:space="0"/>
            </w:tcBorders>
            <w:vAlign w:val="center"/>
          </w:tcPr>
          <w:p w14:paraId="5ECB49FF">
            <w:pPr>
              <w:spacing w:before="50" w:after="50"/>
              <w:jc w:val="left"/>
            </w:pPr>
            <w:r>
              <w:rPr>
                <w:rFonts w:ascii="Times New Roman" w:hAnsi="Times New Roman" w:eastAsia="宋体" w:cs="Times New Roman"/>
                <w:b w:val="0"/>
                <w:bCs w:val="0"/>
                <w:color w:val="000000"/>
                <w:sz w:val="22"/>
                <w:szCs w:val="22"/>
              </w:rPr>
              <w:t>咖啡、驿站、更衣淋浴等</w:t>
            </w:r>
          </w:p>
        </w:tc>
      </w:tr>
      <w:tr w14:paraId="5AB9476F">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0A4D5D9F">
            <w:pPr>
              <w:spacing w:before="50" w:after="50"/>
              <w:jc w:val="left"/>
            </w:pPr>
            <w:r>
              <w:rPr>
                <w:rFonts w:ascii="Times New Roman" w:hAnsi="Times New Roman" w:eastAsia="宋体" w:cs="Times New Roman"/>
                <w:b w:val="0"/>
                <w:bCs w:val="0"/>
                <w:color w:val="000000"/>
                <w:sz w:val="22"/>
                <w:szCs w:val="22"/>
              </w:rPr>
              <w:t>停车场建设</w:t>
            </w:r>
          </w:p>
        </w:tc>
        <w:tc>
          <w:tcPr>
            <w:tcW w:w="1800" w:type="dxa"/>
            <w:tcBorders>
              <w:bottom w:val="single" w:color="000000" w:sz="4" w:space="0"/>
            </w:tcBorders>
            <w:vAlign w:val="center"/>
          </w:tcPr>
          <w:p w14:paraId="678331EC">
            <w:pPr>
              <w:spacing w:before="50" w:after="50"/>
              <w:jc w:val="left"/>
            </w:pPr>
            <w:r>
              <w:rPr>
                <w:rFonts w:ascii="Times New Roman" w:hAnsi="Times New Roman" w:eastAsia="宋体" w:cs="Times New Roman"/>
                <w:b w:val="0"/>
                <w:bCs w:val="0"/>
                <w:color w:val="000000"/>
                <w:sz w:val="22"/>
                <w:szCs w:val="22"/>
              </w:rPr>
              <w:t>100-120</w:t>
            </w:r>
          </w:p>
        </w:tc>
        <w:tc>
          <w:tcPr>
            <w:tcW w:w="1200" w:type="dxa"/>
            <w:tcBorders>
              <w:bottom w:val="single" w:color="000000" w:sz="4" w:space="0"/>
            </w:tcBorders>
            <w:vAlign w:val="center"/>
          </w:tcPr>
          <w:p w14:paraId="3FA60765">
            <w:pPr>
              <w:spacing w:before="50" w:after="50"/>
              <w:jc w:val="left"/>
            </w:pPr>
            <w:r>
              <w:rPr>
                <w:rFonts w:ascii="Times New Roman" w:hAnsi="Times New Roman" w:eastAsia="宋体" w:cs="Times New Roman"/>
                <w:b w:val="0"/>
                <w:bCs w:val="0"/>
                <w:color w:val="000000"/>
                <w:sz w:val="22"/>
                <w:szCs w:val="22"/>
              </w:rPr>
              <w:t>7%-8%</w:t>
            </w:r>
          </w:p>
        </w:tc>
        <w:tc>
          <w:tcPr>
            <w:tcW w:w="3626" w:type="dxa"/>
            <w:tcBorders>
              <w:bottom w:val="single" w:color="000000" w:sz="4" w:space="0"/>
            </w:tcBorders>
            <w:vAlign w:val="center"/>
          </w:tcPr>
          <w:p w14:paraId="7FB21899">
            <w:pPr>
              <w:spacing w:before="50" w:after="50"/>
              <w:jc w:val="left"/>
            </w:pPr>
            <w:r>
              <w:rPr>
                <w:rFonts w:ascii="Times New Roman" w:hAnsi="Times New Roman" w:eastAsia="宋体" w:cs="Times New Roman"/>
                <w:b w:val="0"/>
                <w:bCs w:val="0"/>
                <w:color w:val="000000"/>
                <w:sz w:val="22"/>
                <w:szCs w:val="22"/>
              </w:rPr>
              <w:t>多功能停车场</w:t>
            </w:r>
          </w:p>
        </w:tc>
      </w:tr>
      <w:tr w14:paraId="58B6C52D">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2D97AECF">
            <w:pPr>
              <w:spacing w:before="50" w:after="50"/>
              <w:jc w:val="left"/>
            </w:pPr>
            <w:r>
              <w:rPr>
                <w:rFonts w:ascii="Times New Roman" w:hAnsi="Times New Roman" w:eastAsia="宋体" w:cs="Times New Roman"/>
                <w:b w:val="0"/>
                <w:bCs w:val="0"/>
                <w:color w:val="000000"/>
                <w:sz w:val="22"/>
                <w:szCs w:val="22"/>
              </w:rPr>
              <w:t>景观绿化及旅拍节点</w:t>
            </w:r>
          </w:p>
        </w:tc>
        <w:tc>
          <w:tcPr>
            <w:tcW w:w="1800" w:type="dxa"/>
            <w:tcBorders>
              <w:bottom w:val="single" w:color="000000" w:sz="4" w:space="0"/>
            </w:tcBorders>
            <w:vAlign w:val="center"/>
          </w:tcPr>
          <w:p w14:paraId="07BD8499">
            <w:pPr>
              <w:spacing w:before="50" w:after="50"/>
              <w:jc w:val="left"/>
            </w:pPr>
            <w:r>
              <w:rPr>
                <w:rFonts w:ascii="Times New Roman" w:hAnsi="Times New Roman" w:eastAsia="宋体" w:cs="Times New Roman"/>
                <w:b w:val="0"/>
                <w:bCs w:val="0"/>
                <w:color w:val="000000"/>
                <w:sz w:val="22"/>
                <w:szCs w:val="22"/>
              </w:rPr>
              <w:t>80-100</w:t>
            </w:r>
          </w:p>
        </w:tc>
        <w:tc>
          <w:tcPr>
            <w:tcW w:w="1200" w:type="dxa"/>
            <w:tcBorders>
              <w:bottom w:val="single" w:color="000000" w:sz="4" w:space="0"/>
            </w:tcBorders>
            <w:vAlign w:val="center"/>
          </w:tcPr>
          <w:p w14:paraId="0FC75995">
            <w:pPr>
              <w:spacing w:before="50" w:after="50"/>
              <w:jc w:val="left"/>
            </w:pPr>
            <w:r>
              <w:rPr>
                <w:rFonts w:ascii="Times New Roman" w:hAnsi="Times New Roman" w:eastAsia="宋体" w:cs="Times New Roman"/>
                <w:b w:val="0"/>
                <w:bCs w:val="0"/>
                <w:color w:val="000000"/>
                <w:sz w:val="22"/>
                <w:szCs w:val="22"/>
              </w:rPr>
              <w:t>5%-7%</w:t>
            </w:r>
          </w:p>
        </w:tc>
        <w:tc>
          <w:tcPr>
            <w:tcW w:w="3626" w:type="dxa"/>
            <w:tcBorders>
              <w:bottom w:val="single" w:color="000000" w:sz="4" w:space="0"/>
            </w:tcBorders>
            <w:vAlign w:val="center"/>
          </w:tcPr>
          <w:p w14:paraId="55D686C2">
            <w:pPr>
              <w:spacing w:before="50" w:after="50"/>
              <w:jc w:val="left"/>
            </w:pPr>
            <w:r>
              <w:rPr>
                <w:rFonts w:ascii="Times New Roman" w:hAnsi="Times New Roman" w:eastAsia="宋体" w:cs="Times New Roman"/>
                <w:b w:val="0"/>
                <w:bCs w:val="0"/>
                <w:color w:val="000000"/>
                <w:sz w:val="22"/>
                <w:szCs w:val="22"/>
              </w:rPr>
              <w:t>景观打造</w:t>
            </w:r>
          </w:p>
        </w:tc>
      </w:tr>
      <w:tr w14:paraId="10A64EB3">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2400" w:type="dxa"/>
            <w:tcBorders>
              <w:bottom w:val="single" w:color="000000" w:sz="4" w:space="0"/>
            </w:tcBorders>
            <w:vAlign w:val="center"/>
          </w:tcPr>
          <w:p w14:paraId="3D10D05E">
            <w:pPr>
              <w:spacing w:before="50" w:after="50"/>
              <w:jc w:val="left"/>
            </w:pPr>
            <w:r>
              <w:rPr>
                <w:rFonts w:ascii="Times New Roman" w:hAnsi="Times New Roman" w:eastAsia="宋体" w:cs="Times New Roman"/>
                <w:b w:val="0"/>
                <w:bCs w:val="0"/>
                <w:color w:val="000000"/>
                <w:sz w:val="22"/>
                <w:szCs w:val="22"/>
              </w:rPr>
              <w:t>开业运营准备金</w:t>
            </w:r>
          </w:p>
        </w:tc>
        <w:tc>
          <w:tcPr>
            <w:tcW w:w="1800" w:type="dxa"/>
            <w:tcBorders>
              <w:bottom w:val="single" w:color="000000" w:sz="4" w:space="0"/>
            </w:tcBorders>
            <w:vAlign w:val="center"/>
          </w:tcPr>
          <w:p w14:paraId="50CF7BBC">
            <w:pPr>
              <w:spacing w:before="50" w:after="50"/>
              <w:jc w:val="left"/>
            </w:pPr>
            <w:r>
              <w:rPr>
                <w:rFonts w:ascii="Times New Roman" w:hAnsi="Times New Roman" w:eastAsia="宋体" w:cs="Times New Roman"/>
                <w:b w:val="0"/>
                <w:bCs w:val="0"/>
                <w:color w:val="000000"/>
                <w:sz w:val="22"/>
                <w:szCs w:val="22"/>
              </w:rPr>
              <w:t>100-150</w:t>
            </w:r>
          </w:p>
        </w:tc>
        <w:tc>
          <w:tcPr>
            <w:tcW w:w="1200" w:type="dxa"/>
            <w:tcBorders>
              <w:bottom w:val="single" w:color="000000" w:sz="4" w:space="0"/>
            </w:tcBorders>
            <w:vAlign w:val="center"/>
          </w:tcPr>
          <w:p w14:paraId="13031851">
            <w:pPr>
              <w:spacing w:before="50" w:after="50"/>
              <w:jc w:val="left"/>
            </w:pPr>
            <w:r>
              <w:rPr>
                <w:rFonts w:ascii="Times New Roman" w:hAnsi="Times New Roman" w:eastAsia="宋体" w:cs="Times New Roman"/>
                <w:b w:val="0"/>
                <w:bCs w:val="0"/>
                <w:color w:val="000000"/>
                <w:sz w:val="22"/>
                <w:szCs w:val="22"/>
              </w:rPr>
              <w:t>7%-10%</w:t>
            </w:r>
          </w:p>
        </w:tc>
        <w:tc>
          <w:tcPr>
            <w:tcW w:w="3626" w:type="dxa"/>
            <w:tcBorders>
              <w:bottom w:val="single" w:color="000000" w:sz="4" w:space="0"/>
            </w:tcBorders>
            <w:vAlign w:val="center"/>
          </w:tcPr>
          <w:p w14:paraId="40B1892F">
            <w:pPr>
              <w:spacing w:before="50" w:after="50"/>
              <w:jc w:val="left"/>
            </w:pPr>
            <w:r>
              <w:rPr>
                <w:rFonts w:ascii="Times New Roman" w:hAnsi="Times New Roman" w:eastAsia="宋体" w:cs="Times New Roman"/>
                <w:b w:val="0"/>
                <w:bCs w:val="0"/>
                <w:color w:val="000000"/>
                <w:sz w:val="22"/>
                <w:szCs w:val="22"/>
              </w:rPr>
              <w:t>流动资金</w:t>
            </w:r>
          </w:p>
        </w:tc>
      </w:tr>
      <w:tr w14:paraId="2F82F6B8">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2400" w:type="dxa"/>
            <w:tcBorders>
              <w:bottom w:val="single" w:color="000000" w:sz="4" w:space="0"/>
            </w:tcBorders>
            <w:vAlign w:val="center"/>
          </w:tcPr>
          <w:p w14:paraId="50893CEE">
            <w:pPr>
              <w:spacing w:before="50" w:after="50"/>
              <w:jc w:val="left"/>
            </w:pPr>
            <w:r>
              <w:rPr>
                <w:rFonts w:ascii="Times New Roman" w:hAnsi="Times New Roman" w:eastAsia="宋体" w:cs="Times New Roman"/>
                <w:b/>
                <w:bCs/>
                <w:color w:val="000000"/>
                <w:sz w:val="22"/>
                <w:szCs w:val="22"/>
              </w:rPr>
              <w:t>合计</w:t>
            </w:r>
          </w:p>
        </w:tc>
        <w:tc>
          <w:tcPr>
            <w:tcW w:w="1800" w:type="dxa"/>
            <w:tcBorders>
              <w:bottom w:val="single" w:color="000000" w:sz="4" w:space="0"/>
            </w:tcBorders>
            <w:vAlign w:val="center"/>
          </w:tcPr>
          <w:p w14:paraId="46AEB67B">
            <w:pPr>
              <w:spacing w:before="50" w:after="50"/>
              <w:jc w:val="left"/>
            </w:pPr>
            <w:r>
              <w:rPr>
                <w:rFonts w:ascii="Times New Roman" w:hAnsi="Times New Roman" w:eastAsia="宋体" w:cs="Times New Roman"/>
                <w:b w:val="0"/>
                <w:bCs w:val="0"/>
                <w:color w:val="000000"/>
                <w:sz w:val="22"/>
                <w:szCs w:val="22"/>
              </w:rPr>
              <w:t>约1,500</w:t>
            </w:r>
          </w:p>
        </w:tc>
        <w:tc>
          <w:tcPr>
            <w:tcW w:w="1200" w:type="dxa"/>
            <w:tcBorders>
              <w:bottom w:val="single" w:color="000000" w:sz="4" w:space="0"/>
            </w:tcBorders>
            <w:vAlign w:val="center"/>
          </w:tcPr>
          <w:p w14:paraId="75D6709A">
            <w:pPr>
              <w:spacing w:before="50" w:after="50"/>
              <w:jc w:val="left"/>
            </w:pPr>
            <w:r>
              <w:rPr>
                <w:rFonts w:ascii="Times New Roman" w:hAnsi="Times New Roman" w:eastAsia="宋体" w:cs="Times New Roman"/>
                <w:b w:val="0"/>
                <w:bCs w:val="0"/>
                <w:color w:val="000000"/>
                <w:sz w:val="22"/>
                <w:szCs w:val="22"/>
              </w:rPr>
              <w:t>100%</w:t>
            </w:r>
          </w:p>
        </w:tc>
        <w:tc>
          <w:tcPr>
            <w:tcW w:w="3626" w:type="dxa"/>
            <w:tcBorders>
              <w:bottom w:val="single" w:color="000000" w:sz="4" w:space="0"/>
            </w:tcBorders>
            <w:vAlign w:val="center"/>
          </w:tcPr>
          <w:p w14:paraId="277CC00D">
            <w:pPr>
              <w:spacing w:before="50" w:after="50"/>
              <w:jc w:val="left"/>
            </w:pPr>
            <w:r>
              <w:rPr>
                <w:rFonts w:ascii="Times New Roman" w:hAnsi="Times New Roman" w:eastAsia="宋体" w:cs="Times New Roman"/>
                <w:b w:val="0"/>
                <w:bCs w:val="0"/>
                <w:color w:val="000000"/>
                <w:sz w:val="22"/>
                <w:szCs w:val="22"/>
              </w:rPr>
              <w:t>—</w:t>
            </w:r>
          </w:p>
        </w:tc>
      </w:tr>
    </w:tbl>
    <w:p w14:paraId="145F5291">
      <w:pPr>
        <w:spacing w:before="60" w:after="160"/>
      </w:pPr>
    </w:p>
    <w:p w14:paraId="285BE5EB">
      <w:pPr>
        <w:pStyle w:val="3"/>
        <w:keepNext/>
        <w:keepLines/>
      </w:pPr>
      <w:r>
        <w:t>7.2 建设时间表</w:t>
      </w:r>
    </w:p>
    <w:p w14:paraId="4FFAA82F">
      <w:pPr>
        <w:spacing w:before="80" w:after="80" w:line="360" w:lineRule="auto"/>
        <w:ind w:firstLine="480"/>
        <w:jc w:val="both"/>
      </w:pPr>
      <w:r>
        <w:rPr>
          <w:rFonts w:ascii="Times New Roman" w:hAnsi="Times New Roman" w:eastAsia="宋体" w:cs="Times New Roman"/>
          <w:color w:val="000000"/>
          <w:sz w:val="24"/>
          <w:szCs w:val="24"/>
        </w:rPr>
        <w:t>项目建设周期约7个月，具体安排如下：</w:t>
      </w:r>
    </w:p>
    <w:p w14:paraId="7B267E9C">
      <w:pPr>
        <w:spacing w:before="160" w:after="60"/>
      </w:pPr>
    </w:p>
    <w:tbl>
      <w:tblPr>
        <w:tblStyle w:val="11"/>
        <w:tblW w:w="9026"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80" w:type="dxa"/>
          <w:left w:w="150" w:type="dxa"/>
          <w:bottom w:w="80" w:type="dxa"/>
          <w:right w:w="150" w:type="dxa"/>
        </w:tblCellMar>
      </w:tblPr>
      <w:tblGrid>
        <w:gridCol w:w="1500"/>
        <w:gridCol w:w="1500"/>
        <w:gridCol w:w="3013"/>
        <w:gridCol w:w="3013"/>
      </w:tblGrid>
      <w:tr w14:paraId="4BD6F7FB">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blHeader/>
        </w:trPr>
        <w:tc>
          <w:tcPr>
            <w:tcW w:w="1500" w:type="dxa"/>
            <w:tcBorders>
              <w:bottom w:val="single" w:color="000000" w:sz="6" w:space="0"/>
            </w:tcBorders>
            <w:vAlign w:val="center"/>
          </w:tcPr>
          <w:p w14:paraId="09288EF6">
            <w:pPr>
              <w:spacing w:before="60" w:after="60"/>
              <w:jc w:val="center"/>
            </w:pPr>
            <w:r>
              <w:rPr>
                <w:rFonts w:ascii="Times New Roman" w:hAnsi="Times New Roman" w:eastAsia="宋体" w:cs="Times New Roman"/>
                <w:b/>
                <w:bCs/>
                <w:color w:val="000000"/>
                <w:sz w:val="22"/>
                <w:szCs w:val="22"/>
              </w:rPr>
              <w:t>阶段</w:t>
            </w:r>
          </w:p>
        </w:tc>
        <w:tc>
          <w:tcPr>
            <w:tcW w:w="1500" w:type="dxa"/>
            <w:tcBorders>
              <w:bottom w:val="single" w:color="000000" w:sz="6" w:space="0"/>
            </w:tcBorders>
            <w:vAlign w:val="center"/>
          </w:tcPr>
          <w:p w14:paraId="0C49BEC1">
            <w:pPr>
              <w:spacing w:before="60" w:after="60"/>
              <w:jc w:val="center"/>
            </w:pPr>
            <w:r>
              <w:rPr>
                <w:rFonts w:ascii="Times New Roman" w:hAnsi="Times New Roman" w:eastAsia="宋体" w:cs="Times New Roman"/>
                <w:b/>
                <w:bCs/>
                <w:color w:val="000000"/>
                <w:sz w:val="22"/>
                <w:szCs w:val="22"/>
              </w:rPr>
              <w:t>时间</w:t>
            </w:r>
          </w:p>
        </w:tc>
        <w:tc>
          <w:tcPr>
            <w:tcW w:w="3013" w:type="dxa"/>
            <w:tcBorders>
              <w:bottom w:val="single" w:color="000000" w:sz="6" w:space="0"/>
            </w:tcBorders>
            <w:vAlign w:val="center"/>
          </w:tcPr>
          <w:p w14:paraId="2A71FD63">
            <w:pPr>
              <w:spacing w:before="60" w:after="60"/>
              <w:jc w:val="center"/>
            </w:pPr>
            <w:r>
              <w:rPr>
                <w:rFonts w:ascii="Times New Roman" w:hAnsi="Times New Roman" w:eastAsia="宋体" w:cs="Times New Roman"/>
                <w:b/>
                <w:bCs/>
                <w:color w:val="000000"/>
                <w:sz w:val="22"/>
                <w:szCs w:val="22"/>
              </w:rPr>
              <w:t>主要工作内容</w:t>
            </w:r>
          </w:p>
        </w:tc>
        <w:tc>
          <w:tcPr>
            <w:tcW w:w="3013" w:type="dxa"/>
            <w:tcBorders>
              <w:bottom w:val="single" w:color="000000" w:sz="6" w:space="0"/>
            </w:tcBorders>
            <w:vAlign w:val="center"/>
          </w:tcPr>
          <w:p w14:paraId="2DA7B1C8">
            <w:pPr>
              <w:spacing w:before="60" w:after="60"/>
              <w:jc w:val="center"/>
            </w:pPr>
            <w:r>
              <w:rPr>
                <w:rFonts w:ascii="Times New Roman" w:hAnsi="Times New Roman" w:eastAsia="宋体" w:cs="Times New Roman"/>
                <w:b/>
                <w:bCs/>
                <w:color w:val="000000"/>
                <w:sz w:val="22"/>
                <w:szCs w:val="22"/>
              </w:rPr>
              <w:t>里程碑</w:t>
            </w:r>
          </w:p>
        </w:tc>
      </w:tr>
      <w:tr w14:paraId="1AF1CC0B">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156C1B71">
            <w:pPr>
              <w:spacing w:before="50" w:after="50"/>
              <w:jc w:val="left"/>
            </w:pPr>
            <w:r>
              <w:rPr>
                <w:rFonts w:ascii="Times New Roman" w:hAnsi="Times New Roman" w:eastAsia="宋体" w:cs="Times New Roman"/>
                <w:b w:val="0"/>
                <w:bCs w:val="0"/>
                <w:color w:val="000000"/>
                <w:sz w:val="22"/>
                <w:szCs w:val="22"/>
              </w:rPr>
              <w:t>方案深化期</w:t>
            </w:r>
          </w:p>
        </w:tc>
        <w:tc>
          <w:tcPr>
            <w:tcW w:w="1500" w:type="dxa"/>
            <w:tcBorders>
              <w:bottom w:val="single" w:color="000000" w:sz="4" w:space="0"/>
            </w:tcBorders>
            <w:vAlign w:val="center"/>
          </w:tcPr>
          <w:p w14:paraId="3C3732C6">
            <w:pPr>
              <w:spacing w:before="50" w:after="50"/>
              <w:jc w:val="left"/>
            </w:pPr>
            <w:r>
              <w:rPr>
                <w:rFonts w:ascii="Times New Roman" w:hAnsi="Times New Roman" w:eastAsia="宋体" w:cs="Times New Roman"/>
                <w:b w:val="0"/>
                <w:bCs w:val="0"/>
                <w:color w:val="000000"/>
                <w:sz w:val="22"/>
                <w:szCs w:val="22"/>
              </w:rPr>
              <w:t>第1-2月</w:t>
            </w:r>
          </w:p>
        </w:tc>
        <w:tc>
          <w:tcPr>
            <w:tcW w:w="3013" w:type="dxa"/>
            <w:tcBorders>
              <w:bottom w:val="single" w:color="000000" w:sz="4" w:space="0"/>
            </w:tcBorders>
            <w:vAlign w:val="center"/>
          </w:tcPr>
          <w:p w14:paraId="2E9B6BA4">
            <w:pPr>
              <w:spacing w:before="50" w:after="50"/>
              <w:jc w:val="left"/>
            </w:pPr>
            <w:r>
              <w:rPr>
                <w:rFonts w:ascii="Times New Roman" w:hAnsi="Times New Roman" w:eastAsia="宋体" w:cs="Times New Roman"/>
                <w:b w:val="0"/>
                <w:bCs w:val="0"/>
                <w:color w:val="000000"/>
                <w:sz w:val="22"/>
                <w:szCs w:val="22"/>
              </w:rPr>
              <w:t>方案深化设计、报批手续办理、场地平整</w:t>
            </w:r>
          </w:p>
        </w:tc>
        <w:tc>
          <w:tcPr>
            <w:tcW w:w="3013" w:type="dxa"/>
            <w:tcBorders>
              <w:bottom w:val="single" w:color="000000" w:sz="4" w:space="0"/>
            </w:tcBorders>
            <w:vAlign w:val="center"/>
          </w:tcPr>
          <w:p w14:paraId="1500A379">
            <w:pPr>
              <w:spacing w:before="50" w:after="50"/>
              <w:jc w:val="left"/>
            </w:pPr>
            <w:r>
              <w:rPr>
                <w:rFonts w:ascii="Times New Roman" w:hAnsi="Times New Roman" w:eastAsia="宋体" w:cs="Times New Roman"/>
                <w:b w:val="0"/>
                <w:bCs w:val="0"/>
                <w:color w:val="000000"/>
                <w:sz w:val="22"/>
                <w:szCs w:val="22"/>
              </w:rPr>
              <w:t>取得施工许可</w:t>
            </w:r>
          </w:p>
        </w:tc>
      </w:tr>
      <w:tr w14:paraId="79CC542C">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1E0CA18A">
            <w:pPr>
              <w:spacing w:before="50" w:after="50"/>
              <w:jc w:val="left"/>
            </w:pPr>
            <w:r>
              <w:rPr>
                <w:rFonts w:ascii="Times New Roman" w:hAnsi="Times New Roman" w:eastAsia="宋体" w:cs="Times New Roman"/>
                <w:b w:val="0"/>
                <w:bCs w:val="0"/>
                <w:color w:val="000000"/>
                <w:sz w:val="22"/>
                <w:szCs w:val="22"/>
              </w:rPr>
              <w:t>主体建设期</w:t>
            </w:r>
          </w:p>
        </w:tc>
        <w:tc>
          <w:tcPr>
            <w:tcW w:w="1500" w:type="dxa"/>
            <w:tcBorders>
              <w:bottom w:val="single" w:color="000000" w:sz="4" w:space="0"/>
            </w:tcBorders>
            <w:vAlign w:val="center"/>
          </w:tcPr>
          <w:p w14:paraId="0138AA6D">
            <w:pPr>
              <w:spacing w:before="50" w:after="50"/>
              <w:jc w:val="left"/>
            </w:pPr>
            <w:r>
              <w:rPr>
                <w:rFonts w:ascii="Times New Roman" w:hAnsi="Times New Roman" w:eastAsia="宋体" w:cs="Times New Roman"/>
                <w:b w:val="0"/>
                <w:bCs w:val="0"/>
                <w:color w:val="000000"/>
                <w:sz w:val="22"/>
                <w:szCs w:val="22"/>
              </w:rPr>
              <w:t>第3-4月</w:t>
            </w:r>
          </w:p>
        </w:tc>
        <w:tc>
          <w:tcPr>
            <w:tcW w:w="3013" w:type="dxa"/>
            <w:tcBorders>
              <w:bottom w:val="single" w:color="000000" w:sz="4" w:space="0"/>
            </w:tcBorders>
            <w:vAlign w:val="center"/>
          </w:tcPr>
          <w:p w14:paraId="13BFC045">
            <w:pPr>
              <w:spacing w:before="50" w:after="50"/>
              <w:jc w:val="left"/>
            </w:pPr>
            <w:r>
              <w:rPr>
                <w:rFonts w:ascii="Times New Roman" w:hAnsi="Times New Roman" w:eastAsia="宋体" w:cs="Times New Roman"/>
                <w:b w:val="0"/>
                <w:bCs w:val="0"/>
                <w:color w:val="000000"/>
                <w:sz w:val="22"/>
                <w:szCs w:val="22"/>
              </w:rPr>
              <w:t>匹克球场及网球场建设安装</w:t>
            </w:r>
          </w:p>
        </w:tc>
        <w:tc>
          <w:tcPr>
            <w:tcW w:w="3013" w:type="dxa"/>
            <w:tcBorders>
              <w:bottom w:val="single" w:color="000000" w:sz="4" w:space="0"/>
            </w:tcBorders>
            <w:vAlign w:val="center"/>
          </w:tcPr>
          <w:p w14:paraId="120D54A5">
            <w:pPr>
              <w:spacing w:before="50" w:after="50"/>
              <w:jc w:val="left"/>
            </w:pPr>
            <w:r>
              <w:rPr>
                <w:rFonts w:ascii="Times New Roman" w:hAnsi="Times New Roman" w:eastAsia="宋体" w:cs="Times New Roman"/>
                <w:b w:val="0"/>
                <w:bCs w:val="0"/>
                <w:color w:val="000000"/>
                <w:sz w:val="22"/>
                <w:szCs w:val="22"/>
              </w:rPr>
              <w:t>球场主体完工</w:t>
            </w:r>
          </w:p>
        </w:tc>
      </w:tr>
      <w:tr w14:paraId="2DE98A97">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PrEx>
        <w:trPr>
          <w:cantSplit/>
        </w:trPr>
        <w:tc>
          <w:tcPr>
            <w:tcW w:w="1500" w:type="dxa"/>
            <w:tcBorders>
              <w:bottom w:val="single" w:color="000000" w:sz="4" w:space="0"/>
            </w:tcBorders>
            <w:vAlign w:val="center"/>
          </w:tcPr>
          <w:p w14:paraId="41B344EA">
            <w:pPr>
              <w:spacing w:before="50" w:after="50"/>
              <w:jc w:val="left"/>
            </w:pPr>
            <w:r>
              <w:rPr>
                <w:rFonts w:ascii="Times New Roman" w:hAnsi="Times New Roman" w:eastAsia="宋体" w:cs="Times New Roman"/>
                <w:b w:val="0"/>
                <w:bCs w:val="0"/>
                <w:color w:val="000000"/>
                <w:sz w:val="22"/>
                <w:szCs w:val="22"/>
              </w:rPr>
              <w:t>配套建设期</w:t>
            </w:r>
          </w:p>
        </w:tc>
        <w:tc>
          <w:tcPr>
            <w:tcW w:w="1500" w:type="dxa"/>
            <w:tcBorders>
              <w:bottom w:val="single" w:color="000000" w:sz="4" w:space="0"/>
            </w:tcBorders>
            <w:vAlign w:val="center"/>
          </w:tcPr>
          <w:p w14:paraId="758468D1">
            <w:pPr>
              <w:spacing w:before="50" w:after="50"/>
              <w:jc w:val="left"/>
            </w:pPr>
            <w:r>
              <w:rPr>
                <w:rFonts w:ascii="Times New Roman" w:hAnsi="Times New Roman" w:eastAsia="宋体" w:cs="Times New Roman"/>
                <w:b w:val="0"/>
                <w:bCs w:val="0"/>
                <w:color w:val="000000"/>
                <w:sz w:val="22"/>
                <w:szCs w:val="22"/>
              </w:rPr>
              <w:t>第5月</w:t>
            </w:r>
          </w:p>
        </w:tc>
        <w:tc>
          <w:tcPr>
            <w:tcW w:w="3013" w:type="dxa"/>
            <w:tcBorders>
              <w:bottom w:val="single" w:color="000000" w:sz="4" w:space="0"/>
            </w:tcBorders>
            <w:vAlign w:val="center"/>
          </w:tcPr>
          <w:p w14:paraId="2191ABBC">
            <w:pPr>
              <w:spacing w:before="50" w:after="50"/>
              <w:jc w:val="left"/>
            </w:pPr>
            <w:r>
              <w:rPr>
                <w:rFonts w:ascii="Times New Roman" w:hAnsi="Times New Roman" w:eastAsia="宋体" w:cs="Times New Roman"/>
                <w:b w:val="0"/>
                <w:bCs w:val="0"/>
                <w:color w:val="000000"/>
                <w:sz w:val="22"/>
                <w:szCs w:val="22"/>
              </w:rPr>
              <w:t>配套设施建设、景观绿化</w:t>
            </w:r>
          </w:p>
        </w:tc>
        <w:tc>
          <w:tcPr>
            <w:tcW w:w="3013" w:type="dxa"/>
            <w:tcBorders>
              <w:bottom w:val="single" w:color="000000" w:sz="4" w:space="0"/>
            </w:tcBorders>
            <w:vAlign w:val="center"/>
          </w:tcPr>
          <w:p w14:paraId="48E58D89">
            <w:pPr>
              <w:spacing w:before="50" w:after="50"/>
              <w:jc w:val="left"/>
            </w:pPr>
            <w:r>
              <w:rPr>
                <w:rFonts w:ascii="Times New Roman" w:hAnsi="Times New Roman" w:eastAsia="宋体" w:cs="Times New Roman"/>
                <w:b w:val="0"/>
                <w:bCs w:val="0"/>
                <w:color w:val="000000"/>
                <w:sz w:val="22"/>
                <w:szCs w:val="22"/>
              </w:rPr>
              <w:t>配套完工</w:t>
            </w:r>
          </w:p>
        </w:tc>
      </w:tr>
      <w:tr w14:paraId="7CEA40B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09B209C7">
            <w:pPr>
              <w:spacing w:before="50" w:after="50"/>
              <w:jc w:val="left"/>
            </w:pPr>
            <w:r>
              <w:rPr>
                <w:rFonts w:ascii="Times New Roman" w:hAnsi="Times New Roman" w:eastAsia="宋体" w:cs="Times New Roman"/>
                <w:b w:val="0"/>
                <w:bCs w:val="0"/>
                <w:color w:val="000000"/>
                <w:sz w:val="22"/>
                <w:szCs w:val="22"/>
              </w:rPr>
              <w:t>试运营期</w:t>
            </w:r>
          </w:p>
        </w:tc>
        <w:tc>
          <w:tcPr>
            <w:tcW w:w="1500" w:type="dxa"/>
            <w:tcBorders>
              <w:bottom w:val="single" w:color="000000" w:sz="4" w:space="0"/>
            </w:tcBorders>
            <w:vAlign w:val="center"/>
          </w:tcPr>
          <w:p w14:paraId="0C01ACDB">
            <w:pPr>
              <w:spacing w:before="50" w:after="50"/>
              <w:jc w:val="left"/>
            </w:pPr>
            <w:r>
              <w:rPr>
                <w:rFonts w:ascii="Times New Roman" w:hAnsi="Times New Roman" w:eastAsia="宋体" w:cs="Times New Roman"/>
                <w:b w:val="0"/>
                <w:bCs w:val="0"/>
                <w:color w:val="000000"/>
                <w:sz w:val="22"/>
                <w:szCs w:val="22"/>
              </w:rPr>
              <w:t>第6月</w:t>
            </w:r>
          </w:p>
        </w:tc>
        <w:tc>
          <w:tcPr>
            <w:tcW w:w="3013" w:type="dxa"/>
            <w:tcBorders>
              <w:bottom w:val="single" w:color="000000" w:sz="4" w:space="0"/>
            </w:tcBorders>
            <w:vAlign w:val="center"/>
          </w:tcPr>
          <w:p w14:paraId="4394C15B">
            <w:pPr>
              <w:spacing w:before="50" w:after="50"/>
              <w:jc w:val="left"/>
            </w:pPr>
            <w:r>
              <w:rPr>
                <w:rFonts w:ascii="Times New Roman" w:hAnsi="Times New Roman" w:eastAsia="宋体" w:cs="Times New Roman"/>
                <w:b w:val="0"/>
                <w:bCs w:val="0"/>
                <w:color w:val="000000"/>
                <w:sz w:val="22"/>
                <w:szCs w:val="22"/>
              </w:rPr>
              <w:t>设备调试、试运营、团队磨合</w:t>
            </w:r>
          </w:p>
        </w:tc>
        <w:tc>
          <w:tcPr>
            <w:tcW w:w="3013" w:type="dxa"/>
            <w:tcBorders>
              <w:bottom w:val="single" w:color="000000" w:sz="4" w:space="0"/>
            </w:tcBorders>
            <w:vAlign w:val="center"/>
          </w:tcPr>
          <w:p w14:paraId="182AD12E">
            <w:pPr>
              <w:spacing w:before="50" w:after="50"/>
              <w:jc w:val="left"/>
            </w:pPr>
            <w:r>
              <w:rPr>
                <w:rFonts w:ascii="Times New Roman" w:hAnsi="Times New Roman" w:eastAsia="宋体" w:cs="Times New Roman"/>
                <w:b w:val="0"/>
                <w:bCs w:val="0"/>
                <w:color w:val="000000"/>
                <w:sz w:val="22"/>
                <w:szCs w:val="22"/>
              </w:rPr>
              <w:t>试运营开始</w:t>
            </w:r>
          </w:p>
        </w:tc>
      </w:tr>
      <w:tr w14:paraId="53FF9EFD">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80" w:type="dxa"/>
            <w:left w:w="150" w:type="dxa"/>
            <w:bottom w:w="80" w:type="dxa"/>
            <w:right w:w="150" w:type="dxa"/>
          </w:tblCellMar>
        </w:tblPrEx>
        <w:trPr>
          <w:cantSplit/>
        </w:trPr>
        <w:tc>
          <w:tcPr>
            <w:tcW w:w="1500" w:type="dxa"/>
            <w:tcBorders>
              <w:bottom w:val="single" w:color="000000" w:sz="4" w:space="0"/>
            </w:tcBorders>
            <w:vAlign w:val="center"/>
          </w:tcPr>
          <w:p w14:paraId="343E9D9C">
            <w:pPr>
              <w:spacing w:before="50" w:after="50"/>
              <w:jc w:val="left"/>
            </w:pPr>
            <w:r>
              <w:rPr>
                <w:rFonts w:ascii="Times New Roman" w:hAnsi="Times New Roman" w:eastAsia="宋体" w:cs="Times New Roman"/>
                <w:b w:val="0"/>
                <w:bCs w:val="0"/>
                <w:color w:val="000000"/>
                <w:sz w:val="22"/>
                <w:szCs w:val="22"/>
              </w:rPr>
              <w:t>正式开业</w:t>
            </w:r>
          </w:p>
        </w:tc>
        <w:tc>
          <w:tcPr>
            <w:tcW w:w="1500" w:type="dxa"/>
            <w:tcBorders>
              <w:bottom w:val="single" w:color="000000" w:sz="4" w:space="0"/>
            </w:tcBorders>
            <w:vAlign w:val="center"/>
          </w:tcPr>
          <w:p w14:paraId="2C864675">
            <w:pPr>
              <w:spacing w:before="50" w:after="50"/>
              <w:jc w:val="left"/>
            </w:pPr>
            <w:r>
              <w:rPr>
                <w:rFonts w:ascii="Times New Roman" w:hAnsi="Times New Roman" w:eastAsia="宋体" w:cs="Times New Roman"/>
                <w:b w:val="0"/>
                <w:bCs w:val="0"/>
                <w:color w:val="000000"/>
                <w:sz w:val="22"/>
                <w:szCs w:val="22"/>
              </w:rPr>
              <w:t>第7月</w:t>
            </w:r>
          </w:p>
        </w:tc>
        <w:tc>
          <w:tcPr>
            <w:tcW w:w="3013" w:type="dxa"/>
            <w:tcBorders>
              <w:bottom w:val="single" w:color="000000" w:sz="4" w:space="0"/>
            </w:tcBorders>
            <w:vAlign w:val="center"/>
          </w:tcPr>
          <w:p w14:paraId="458BB357">
            <w:pPr>
              <w:spacing w:before="50" w:after="50"/>
              <w:jc w:val="left"/>
            </w:pPr>
            <w:r>
              <w:rPr>
                <w:rFonts w:ascii="Times New Roman" w:hAnsi="Times New Roman" w:eastAsia="宋体" w:cs="Times New Roman"/>
                <w:b w:val="0"/>
                <w:bCs w:val="0"/>
                <w:color w:val="000000"/>
                <w:sz w:val="22"/>
                <w:szCs w:val="22"/>
              </w:rPr>
              <w:t>正式开业运营</w:t>
            </w:r>
          </w:p>
        </w:tc>
        <w:tc>
          <w:tcPr>
            <w:tcW w:w="3013" w:type="dxa"/>
            <w:tcBorders>
              <w:bottom w:val="single" w:color="000000" w:sz="4" w:space="0"/>
            </w:tcBorders>
            <w:vAlign w:val="center"/>
          </w:tcPr>
          <w:p w14:paraId="74E2440E">
            <w:pPr>
              <w:spacing w:before="50" w:after="50"/>
              <w:jc w:val="left"/>
            </w:pPr>
            <w:r>
              <w:rPr>
                <w:rFonts w:ascii="Times New Roman" w:hAnsi="Times New Roman" w:eastAsia="宋体" w:cs="Times New Roman"/>
                <w:b w:val="0"/>
                <w:bCs w:val="0"/>
                <w:color w:val="000000"/>
                <w:sz w:val="22"/>
                <w:szCs w:val="22"/>
              </w:rPr>
              <w:t>盛大开业</w:t>
            </w:r>
          </w:p>
        </w:tc>
      </w:tr>
    </w:tbl>
    <w:p w14:paraId="10871513">
      <w:pPr>
        <w:spacing w:before="60" w:after="160"/>
      </w:pPr>
    </w:p>
    <w:p w14:paraId="45382F32">
      <w:pPr>
        <w:pStyle w:val="2"/>
        <w:keepNext/>
        <w:keepLines/>
      </w:pPr>
      <w:r>
        <w:t>第八章 结语</w:t>
      </w:r>
    </w:p>
    <w:p w14:paraId="26427C4B">
      <w:pPr>
        <w:spacing w:before="80" w:after="80" w:line="360" w:lineRule="auto"/>
        <w:ind w:firstLine="480"/>
        <w:jc w:val="both"/>
      </w:pPr>
      <w:r>
        <w:rPr>
          <w:rFonts w:ascii="Times New Roman" w:hAnsi="Times New Roman" w:eastAsia="宋体" w:cs="Times New Roman"/>
          <w:color w:val="000000"/>
          <w:sz w:val="24"/>
          <w:szCs w:val="24"/>
        </w:rPr>
        <w:t>南山森兰匹克球运动公园项目，是上海森兰公司响应全民健身国家战略、助力重庆南山打造高质量户外运动目的地的诚意之作。我们深信，该项目不仅能够创造良好的经济效益，更将为南岸区的城市发展、民生改善和产业升级带来深远的社会价值。</w:t>
      </w:r>
    </w:p>
    <w:p w14:paraId="5978CFA5">
      <w:pPr>
        <w:spacing w:before="80" w:after="80" w:line="360" w:lineRule="auto"/>
        <w:ind w:firstLine="480"/>
        <w:jc w:val="both"/>
      </w:pPr>
      <w:r>
        <w:rPr>
          <w:rFonts w:ascii="Times New Roman" w:hAnsi="Times New Roman" w:eastAsia="宋体" w:cs="Times New Roman"/>
          <w:color w:val="000000"/>
          <w:sz w:val="24"/>
          <w:szCs w:val="24"/>
        </w:rPr>
        <w:t>从市场维度看，匹克球运动正处于爆发式增长的关键窗口期，南山森兰项目将抢占先发优势，填补重庆大型专业户外匹克球综合体的空白。从社会维度看，项目将盘活闲置土地、提升城市形象、带动就业和人才培养、促进体旅融合发展。从创新维度看，项目将为G1公园绿地的活化利用提供可复制的示范样本。</w:t>
      </w:r>
    </w:p>
    <w:p w14:paraId="6FCB9781">
      <w:pPr>
        <w:spacing w:before="80" w:after="80" w:line="360" w:lineRule="auto"/>
        <w:ind w:firstLine="480"/>
        <w:jc w:val="both"/>
      </w:pPr>
      <w:r>
        <w:rPr>
          <w:rFonts w:ascii="Times New Roman" w:hAnsi="Times New Roman" w:eastAsia="宋体" w:cs="Times New Roman"/>
          <w:color w:val="000000"/>
          <w:sz w:val="24"/>
          <w:szCs w:val="24"/>
        </w:rPr>
        <w:t>上海森兰公司拥有丰富的体育产业投资和运营经验，具备将本项目打造为重庆乃至西南地区标杆性户外运动目的地的专业能力和资源储备。我们诚挚邀请南山管委会携手合作，共同开创南山户外运动产业的新篇章。</w:t>
      </w:r>
    </w:p>
    <w:p w14:paraId="678598D9">
      <w:pPr>
        <w:spacing w:before="80" w:after="80" w:line="360" w:lineRule="auto"/>
        <w:ind w:firstLine="480"/>
        <w:jc w:val="both"/>
      </w:pPr>
      <w:r>
        <w:rPr>
          <w:rFonts w:ascii="Times New Roman" w:hAnsi="Times New Roman" w:eastAsia="宋体" w:cs="Times New Roman"/>
          <w:color w:val="000000"/>
          <w:sz w:val="24"/>
          <w:szCs w:val="24"/>
        </w:rPr>
        <w:t>我们期待与南山管委会进一步深入沟通，就合作细节达成共识，推动项目早日落地实施。</w:t>
      </w:r>
    </w:p>
    <w:p w14:paraId="235C237A">
      <w:pPr>
        <w:spacing w:before="400"/>
      </w:pPr>
    </w:p>
    <w:p w14:paraId="19E2ECCB">
      <w:pPr>
        <w:pStyle w:val="3"/>
        <w:keepNext/>
        <w:keepLines/>
      </w:pPr>
      <w:r>
        <w:t>附：上海森兰公司简介</w:t>
      </w:r>
    </w:p>
    <w:p w14:paraId="072E7E3A">
      <w:pPr>
        <w:spacing w:before="80" w:after="80" w:line="360" w:lineRule="auto"/>
        <w:ind w:firstLine="480"/>
        <w:jc w:val="both"/>
      </w:pPr>
      <w:r>
        <w:rPr>
          <w:rFonts w:ascii="Times New Roman" w:hAnsi="Times New Roman" w:eastAsia="宋体" w:cs="Times New Roman"/>
          <w:color w:val="000000"/>
          <w:sz w:val="24"/>
          <w:szCs w:val="24"/>
        </w:rPr>
        <w:t>上海森兰公司是一家专注于体育产业投资、建设和运营的综合性企业，业务涵盖体育场馆投资建设、体育赛事运营、体育培训和体育文化传播等领域。公司秉承“让运动更美好”的理念，致力于为中国城市提供高品质的体育基础设施和运动服务。</w:t>
      </w:r>
    </w:p>
    <w:p w14:paraId="594B34EF">
      <w:pPr>
        <w:spacing w:before="80" w:after="80" w:line="360" w:lineRule="auto"/>
        <w:ind w:firstLine="480"/>
        <w:jc w:val="both"/>
      </w:pPr>
      <w:r>
        <w:rPr>
          <w:rFonts w:ascii="Times New Roman" w:hAnsi="Times New Roman" w:eastAsia="宋体" w:cs="Times New Roman"/>
          <w:color w:val="000000"/>
          <w:sz w:val="24"/>
          <w:szCs w:val="24"/>
        </w:rPr>
        <w:t>公司在匹克球领域具有深厚的专业积累，已在国内多个城市成功投资运营匹克球项目，具备从策划规划、投资建设到运营管理的全链条能力。</w:t>
      </w:r>
    </w:p>
    <w:sectPr>
      <w:headerReference r:id="rId5" w:type="default"/>
      <w:footerReference r:id="rId6"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黑体">
    <w:altName w:val="汉仪中黑KW"/>
    <w:panose1 w:val="00000000000000000000"/>
    <w:charset w:val="00"/>
    <w:family w:val="auto"/>
    <w:pitch w:val="default"/>
    <w:sig w:usb0="00000000" w:usb1="00000000" w:usb2="00000000" w:usb3="00000000" w:csb0="00000000"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D3028">
    <w:pPr>
      <w:jc w:val="center"/>
    </w:pPr>
    <w:r>
      <w:rPr>
        <w:rFonts w:ascii="Times New Roman" w:hAnsi="Times New Roman" w:eastAsia="宋体" w:cs="Times New Roman"/>
        <w:color w:val="808080"/>
        <w:sz w:val="20"/>
        <w:szCs w:val="20"/>
      </w:rPr>
      <w:t xml:space="preserve">第 </w:t>
    </w:r>
    <w:r>
      <w:rPr>
        <w:rFonts w:ascii="Times New Roman" w:hAnsi="Times New Roman" w:eastAsia="宋体" w:cs="Times New Roman"/>
        <w:color w:val="808080"/>
        <w:sz w:val="20"/>
        <w:szCs w:val="20"/>
      </w:rPr>
      <w:fldChar w:fldCharType="begin"/>
    </w:r>
    <w:r>
      <w:rPr>
        <w:rFonts w:ascii="Times New Roman" w:hAnsi="Times New Roman" w:eastAsia="宋体" w:cs="Times New Roman"/>
        <w:color w:val="808080"/>
        <w:sz w:val="20"/>
        <w:szCs w:val="20"/>
      </w:rPr>
      <w:instrText xml:space="preserve">PAGE</w:instrText>
    </w:r>
    <w:r>
      <w:rPr>
        <w:rFonts w:ascii="Times New Roman" w:hAnsi="Times New Roman" w:eastAsia="宋体" w:cs="Times New Roman"/>
        <w:color w:val="808080"/>
        <w:sz w:val="20"/>
        <w:szCs w:val="20"/>
      </w:rPr>
      <w:fldChar w:fldCharType="separate"/>
    </w:r>
    <w:r>
      <w:rPr>
        <w:rFonts w:ascii="Times New Roman" w:hAnsi="Times New Roman" w:eastAsia="宋体" w:cs="Times New Roman"/>
        <w:color w:val="808080"/>
        <w:sz w:val="20"/>
        <w:szCs w:val="20"/>
      </w:rPr>
      <w:fldChar w:fldCharType="end"/>
    </w:r>
    <w:r>
      <w:rPr>
        <w:rFonts w:ascii="Times New Roman" w:hAnsi="Times New Roman" w:eastAsia="宋体" w:cs="Times New Roman"/>
        <w:color w:val="808080"/>
        <w:sz w:val="20"/>
        <w:szCs w:val="2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7A5A">
    <w:pPr>
      <w:jc w:val="center"/>
    </w:pPr>
    <w:r>
      <w:rPr>
        <w:rFonts w:ascii="Times New Roman" w:hAnsi="Times New Roman" w:eastAsia="宋体" w:cs="Times New Roman"/>
        <w:color w:val="808080"/>
        <w:sz w:val="20"/>
        <w:szCs w:val="20"/>
      </w:rPr>
      <w:t xml:space="preserve">第 </w:t>
    </w:r>
    <w:r>
      <w:rPr>
        <w:rFonts w:ascii="Times New Roman" w:hAnsi="Times New Roman" w:eastAsia="宋体" w:cs="Times New Roman"/>
        <w:color w:val="808080"/>
        <w:sz w:val="20"/>
        <w:szCs w:val="20"/>
      </w:rPr>
      <w:fldChar w:fldCharType="begin"/>
    </w:r>
    <w:r>
      <w:rPr>
        <w:rFonts w:ascii="Times New Roman" w:hAnsi="Times New Roman" w:eastAsia="宋体" w:cs="Times New Roman"/>
        <w:color w:val="808080"/>
        <w:sz w:val="20"/>
        <w:szCs w:val="20"/>
      </w:rPr>
      <w:instrText xml:space="preserve">PAGE</w:instrText>
    </w:r>
    <w:r>
      <w:rPr>
        <w:rFonts w:ascii="Times New Roman" w:hAnsi="Times New Roman" w:eastAsia="宋体" w:cs="Times New Roman"/>
        <w:color w:val="808080"/>
        <w:sz w:val="20"/>
        <w:szCs w:val="20"/>
      </w:rPr>
      <w:fldChar w:fldCharType="separate"/>
    </w:r>
    <w:r>
      <w:rPr>
        <w:rFonts w:ascii="Times New Roman" w:hAnsi="Times New Roman" w:eastAsia="宋体" w:cs="Times New Roman"/>
        <w:color w:val="808080"/>
        <w:sz w:val="20"/>
        <w:szCs w:val="20"/>
      </w:rPr>
      <w:fldChar w:fldCharType="end"/>
    </w:r>
    <w:r>
      <w:rPr>
        <w:rFonts w:ascii="Times New Roman" w:hAnsi="Times New Roman" w:eastAsia="宋体" w:cs="Times New Roman"/>
        <w:color w:val="808080"/>
        <w:sz w:val="20"/>
        <w:szCs w:val="20"/>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3885A">
    <w:pPr>
      <w:jc w:val="center"/>
    </w:pPr>
    <w:r>
      <w:rPr>
        <w:rFonts w:ascii="Times New Roman" w:hAnsi="Times New Roman" w:eastAsia="宋体" w:cs="Times New Roman"/>
        <w:i/>
        <w:iCs/>
        <w:color w:val="808080"/>
        <w:sz w:val="18"/>
        <w:szCs w:val="18"/>
      </w:rPr>
      <w:t>南山森兰匹克球运动公园 策划提案（机密）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5FE7E">
    <w:pPr>
      <w:jc w:val="center"/>
    </w:pPr>
    <w:r>
      <w:rPr>
        <w:rFonts w:ascii="Times New Roman" w:hAnsi="Times New Roman" w:eastAsia="宋体" w:cs="Times New Roman"/>
        <w:i/>
        <w:iCs/>
        <w:color w:val="808080"/>
        <w:sz w:val="18"/>
        <w:szCs w:val="18"/>
      </w:rPr>
      <w:t>南山森兰匹克球运动公园 策划提案（机密）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9FF79B8"/>
    <w:rsid w:val="09FF79B8"/>
    <w:rsid w:val="FFDFD23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rPr>
  </w:style>
  <w:style w:type="paragraph" w:styleId="2">
    <w:name w:val="heading 1"/>
    <w:next w:val="1"/>
    <w:qFormat/>
    <w:uiPriority w:val="0"/>
    <w:pPr>
      <w:keepNext/>
      <w:keepLines/>
      <w:spacing w:before="360" w:after="200"/>
      <w:outlineLvl w:val="0"/>
    </w:pPr>
    <w:rPr>
      <w:rFonts w:ascii="Times New Roman" w:hAnsi="Times New Roman" w:eastAsia="黑体" w:cs="Times New Roman"/>
      <w:b/>
      <w:bCs/>
      <w:color w:val="1B4F72"/>
      <w:sz w:val="32"/>
      <w:szCs w:val="32"/>
    </w:rPr>
  </w:style>
  <w:style w:type="paragraph" w:styleId="3">
    <w:name w:val="heading 2"/>
    <w:next w:val="1"/>
    <w:qFormat/>
    <w:uiPriority w:val="0"/>
    <w:pPr>
      <w:keepNext/>
      <w:keepLines/>
      <w:spacing w:before="240" w:after="120"/>
      <w:outlineLvl w:val="1"/>
    </w:pPr>
    <w:rPr>
      <w:rFonts w:ascii="Times New Roman" w:hAnsi="Times New Roman" w:eastAsia="黑体" w:cs="Times New Roman"/>
      <w:b/>
      <w:bCs/>
      <w:color w:val="2C3E50"/>
      <w:sz w:val="28"/>
      <w:szCs w:val="28"/>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9">
    <w:name w:val="footnote text"/>
    <w:link w:val="17"/>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10">
    <w:name w:val="Title"/>
    <w:qFormat/>
    <w:uiPriority w:val="0"/>
    <w:rPr>
      <w:rFonts w:ascii="Times New Roman" w:hAnsi="Times New Roman" w:eastAsia="宋体" w:cs="Times New Roman"/>
      <w:color w:val="000000"/>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宋体" w:cs="Times New Roman"/>
      <w:color w:val="000000"/>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0</TotalTime>
  <ScaleCrop>false</ScaleCrop>
  <LinksUpToDate>false</LinksUpToDate>
  <Application>WPS Office WWO_wpscloud_20260916174450-7bfc4fa662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dcterms:modified xsi:type="dcterms:W3CDTF">2026-09-26T17:07:16Z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2052-12.9.0.29121</vt:lpwstr>
  </property>
  <property fmtid="{D5CDD505-2E9C-101B-9397-08002B2CF9AE}" pid="3" name="ICV">
    <vt:lpwstr>DA455B647C6DEB27448BB76A96574854_43</vt:lpwstr>
  </property>
</Properties>
</file>