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南山森兰运动公园风测量与持续监测方案</w:t>
      </w:r>
    </w:p>
    <w:p>
      <w:r>
        <w:t>风怎么测　后续怎么监测　场地怎么应对</w:t>
      </w:r>
    </w:p>
    <w:p>
      <w:r>
        <w:t>本方案仅讨论风。匹克球按拟建装配式篷房条件考虑，网球场覆盖形式待确认。先用短期测量找出风扰明显的位置，再保留必要的持续监测；场地改造根据实测和专业核查决定。</w:t>
      </w:r>
    </w:p>
    <w:p>
      <w:r>
        <w:t>球路受扰与结构安全是两类问题。手持风速读数用于解释运动体验，不能替代篷房厂家规定的阵风监测。具体停用风速、侧幕操作条件及恢复标准，必须由篷房供应商和结构专业书面确认。</w:t>
      </w:r>
    </w:p>
    <w:p>
      <w:pPr>
        <w:pStyle w:val="Heading1"/>
      </w:pPr>
      <w:r>
        <w:t>一 首轮风测量</w:t>
      </w:r>
    </w:p>
    <w:p>
      <w:r>
        <w:t>布点。先在总图标出篷房侧面开口、棚边、棚中、网球场及开敞迎风边缘。选择“开敞参考点、棚边或开口点、棚中点、网球代表点”四类位置作初测；四类并不代表全场只需四个点，独立篷房和明显不同朝向应补测。所有点均选安全位置，避开击球、车辆和人员通行。</w:t>
      </w:r>
    </w:p>
    <w:p>
      <w:r>
        <w:t>工具。优先借用两台能够记录时间序列的风速仪：一台固定在安全参考位置，另一台轮测各点；只有一台时可先作筛查，但不同时间的读数不作严格空间比较。仪器量程、低风速响应、精度、记录能力和校核情况需留档。固定结构监测另由专业方确定，不由本次手持测量替代。</w:t>
      </w:r>
    </w:p>
    <w:p>
      <w:r>
        <w:t>方法。体验测量暂以约1.5米高度作一致比较，记录实际高度、点位照片、仪器方向和周围遮挡；不把该高度称为标准气象站高度。按说明书等待稳定，每点每轮记录约10分钟，保留设备实际采样间隔、平均值和最大记录值。最大记录值仅代表该设备与该时段，未经定义不能称为结构使用条件中的“阵风”。</w:t>
      </w:r>
    </w:p>
    <w:p>
      <w:r>
        <w:t>时间。首轮安排在实际营业拟用的早、中、晚时段，尽量包括普通天气和有明显风扰但仍安全的天气。同步记录风向、侧幕开闭、遮挡状态及试打反馈，如匹克球落点偏移、网球抛球不稳。测量与试打仅在场地已经允许使用的条件下进行，强风预警或设施异常时先避险，不外出补数据。</w:t>
      </w:r>
    </w:p>
    <w:p>
      <w:r>
        <w:t>成果。用一张平面图标出风扰点，列明各点同一时段的读数及体验，提出需要持续关注的区域。无同期参考或天气样本不足时注明局限，不据此推算全年可用率、主导风向或结构承载能力。</w:t>
      </w:r>
    </w:p>
    <w:p>
      <w:pPr>
        <w:pStyle w:val="Heading1"/>
      </w:pPr>
      <w:r>
        <w:t>二 后续持续监测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57"/>
        <w:gridCol w:w="4195"/>
        <w:gridCol w:w="3969"/>
      </w:tblGrid>
      <w:tr>
        <w:trPr>
          <w:cantSplit/>
          <w:tblHeader/>
        </w:trPr>
        <w:tc>
          <w:tcPr>
            <w:tcW w:type="dxa" w:w="1757"/>
            <w:shd w:fill="E7EBEF"/>
          </w:tcPr>
          <w:p>
            <w:pPr>
              <w:spacing w:after="100" w:before="100"/>
            </w:pPr>
            <w:r>
              <w:rPr>
                <w:b/>
                <w:sz w:val="20"/>
              </w:rPr>
              <w:t>监测层次</w:t>
            </w:r>
          </w:p>
        </w:tc>
        <w:tc>
          <w:tcPr>
            <w:tcW w:type="dxa" w:w="4195"/>
            <w:shd w:fill="E7EBEF"/>
          </w:tcPr>
          <w:p>
            <w:pPr>
              <w:spacing w:after="100" w:before="100"/>
            </w:pPr>
            <w:r>
              <w:rPr>
                <w:b/>
                <w:sz w:val="20"/>
              </w:rPr>
              <w:t>怎么做</w:t>
            </w:r>
          </w:p>
        </w:tc>
        <w:tc>
          <w:tcPr>
            <w:tcW w:type="dxa" w:w="3969"/>
            <w:shd w:fill="E7EBEF"/>
          </w:tcPr>
          <w:p>
            <w:pPr>
              <w:spacing w:after="100" w:before="100"/>
            </w:pPr>
            <w:r>
              <w:rPr>
                <w:b/>
                <w:sz w:val="20"/>
              </w:rPr>
              <w:t>谁负责</w:t>
            </w:r>
          </w:p>
        </w:tc>
      </w:tr>
      <w:tr>
        <w:trPr>
          <w:cantSplit/>
        </w:trPr>
        <w:tc>
          <w:tcPr>
            <w:tcW w:type="dxa" w:w="175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属地预警</w:t>
            </w:r>
          </w:p>
        </w:tc>
        <w:tc>
          <w:tcPr>
            <w:tcW w:type="dxa" w:w="4195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开场和交班查看适用区域、发布时间和防御要求；营业中保持官方信息接收，预警变化及时处理</w:t>
            </w:r>
          </w:p>
        </w:tc>
        <w:tc>
          <w:tcPr>
            <w:tcW w:type="dxa" w:w="3969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值班负责人，指定替补</w:t>
            </w:r>
          </w:p>
        </w:tc>
      </w:tr>
      <w:tr>
        <w:trPr>
          <w:cantSplit/>
        </w:trPr>
        <w:tc>
          <w:tcPr>
            <w:tcW w:type="dxa" w:w="175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篷房安全监测</w:t>
            </w:r>
          </w:p>
        </w:tc>
        <w:tc>
          <w:tcPr>
            <w:tcW w:type="dxa" w:w="4195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先取得厂家书面的持续风、阵风定义、测点高度、采样及统计窗口、报警值、撤离提前量、侧幕条件和失测程序；要求实时监测时配置固定系统及现场报警</w:t>
            </w:r>
          </w:p>
        </w:tc>
        <w:tc>
          <w:tcPr>
            <w:tcW w:type="dxa" w:w="3969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专业方安装调试；值班负责人查看报警及状态</w:t>
            </w:r>
          </w:p>
        </w:tc>
      </w:tr>
      <w:tr>
        <w:trPr>
          <w:cantSplit/>
        </w:trPr>
        <w:tc>
          <w:tcPr>
            <w:tcW w:type="dxa" w:w="175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运动体验检查</w:t>
            </w:r>
          </w:p>
        </w:tc>
        <w:tc>
          <w:tcPr>
            <w:tcW w:type="dxa" w:w="4195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开场巡查并听取教练反馈；出现明显球路变化时，在安全条件下复测相同点位，记录场号、时刻和侧幕状态</w:t>
            </w:r>
          </w:p>
        </w:tc>
        <w:tc>
          <w:tcPr>
            <w:tcW w:type="dxa" w:w="3969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巡场人员；教练可立即暂停本场</w:t>
            </w:r>
          </w:p>
        </w:tc>
      </w:tr>
      <w:tr>
        <w:trPr>
          <w:cantSplit/>
        </w:trPr>
        <w:tc>
          <w:tcPr>
            <w:tcW w:type="dxa" w:w="175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设备维护</w:t>
            </w:r>
          </w:p>
        </w:tc>
        <w:tc>
          <w:tcPr>
            <w:tcW w:type="dxa" w:w="4195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开场查看自检、供电和时间状态；定期导出原始记录，按厂家周期清洁校核；大风或故障后检查安装和数据有效性</w:t>
            </w:r>
          </w:p>
        </w:tc>
        <w:tc>
          <w:tcPr>
            <w:tcW w:type="dxa" w:w="3969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指定兼岗人员；专业检修外包</w:t>
            </w:r>
          </w:p>
        </w:tc>
      </w:tr>
    </w:tbl>
    <w:p>
      <w:pPr>
        <w:spacing w:after="0"/>
      </w:pPr>
    </w:p>
    <w:p>
      <w:r>
        <w:t>固定系统宜能现场读取、报警并离线存储；是否需要备用供电、几个测头、装在哪里，由各篷房的监测要求确定，不能默认一套单测头覆盖全场。可先借租作初测；厂家要求实时阵风监测时，该配置为必要项，不能用手机天气或手持瞬时读数省掉。</w:t>
      </w:r>
    </w:p>
    <w:p>
      <w:r>
        <w:t>试运营首30天记录实际出现的风况和影响。第7天复核检查耗时，减少重复巡测；第30天判断哪些体验测点保留、轮查或取消。未遇到大风不代表无需大风防控。正常期并入开场和交班，不新增专职气象岗位；异常时加强检查但不要求人员进入危险区测量。</w:t>
      </w:r>
    </w:p>
    <w:p>
      <w:r>
        <w:t>记录只保留：日期时间、场号或点号、仪器及统计方式、读数与风向、侧幕状态、异常现象、采取措施及负责人。仪器故障或断网时注明缺失；必须的风监测失效，按专业故障安全程序停用相关棚区，恢复监测并检查合格后再用。</w:t>
      </w:r>
    </w:p>
    <w:p>
      <w:pPr>
        <w:pStyle w:val="Heading1"/>
      </w:pPr>
      <w:r>
        <w:t>三 场地采取的措施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57"/>
        <w:gridCol w:w="4195"/>
        <w:gridCol w:w="3969"/>
      </w:tblGrid>
      <w:tr>
        <w:trPr>
          <w:cantSplit/>
          <w:tblHeader/>
        </w:trPr>
        <w:tc>
          <w:tcPr>
            <w:tcW w:type="dxa" w:w="1757"/>
            <w:shd w:fill="E7EBEF"/>
          </w:tcPr>
          <w:p>
            <w:pPr>
              <w:spacing w:after="100" w:before="100"/>
            </w:pPr>
            <w:r>
              <w:rPr>
                <w:b/>
                <w:sz w:val="20"/>
              </w:rPr>
              <w:t>现场发现</w:t>
            </w:r>
          </w:p>
        </w:tc>
        <w:tc>
          <w:tcPr>
            <w:tcW w:type="dxa" w:w="4195"/>
            <w:shd w:fill="E7EBEF"/>
          </w:tcPr>
          <w:p>
            <w:pPr>
              <w:spacing w:after="100" w:before="100"/>
            </w:pPr>
            <w:r>
              <w:rPr>
                <w:b/>
                <w:sz w:val="20"/>
              </w:rPr>
              <w:t>优先措施</w:t>
            </w:r>
          </w:p>
        </w:tc>
        <w:tc>
          <w:tcPr>
            <w:tcW w:type="dxa" w:w="3969"/>
            <w:shd w:fill="E7EBEF"/>
          </w:tcPr>
          <w:p>
            <w:pPr>
              <w:spacing w:after="100" w:before="100"/>
            </w:pPr>
            <w:r>
              <w:rPr>
                <w:b/>
                <w:sz w:val="20"/>
              </w:rPr>
              <w:t>需要避免</w:t>
            </w:r>
          </w:p>
        </w:tc>
      </w:tr>
      <w:tr>
        <w:trPr>
          <w:cantSplit/>
        </w:trPr>
        <w:tc>
          <w:tcPr>
            <w:tcW w:type="dxa" w:w="175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棚边或开口球路反复受扰</w:t>
            </w:r>
          </w:p>
        </w:tc>
        <w:tc>
          <w:tcPr>
            <w:tcW w:type="dxa" w:w="4195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先调整课程场地和时段；比较不同允许侧幕状态，再由设计方调整开口、屏障或场地布置</w:t>
            </w:r>
          </w:p>
        </w:tc>
        <w:tc>
          <w:tcPr>
            <w:tcW w:type="dxa" w:w="3969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不凭一次读数加密防风网或封闭四周</w:t>
            </w:r>
          </w:p>
        </w:tc>
      </w:tr>
      <w:tr>
        <w:trPr>
          <w:cantSplit/>
        </w:trPr>
        <w:tc>
          <w:tcPr>
            <w:tcW w:type="dxa" w:w="175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拟加防风网或屏障</w:t>
            </w:r>
          </w:p>
        </w:tc>
        <w:tc>
          <w:tcPr>
            <w:tcW w:type="dxa" w:w="4195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先在代表区域验证体验改善；由结构专业核查围网、立柱、基础及棚体新增受力，同时检查通风、净空和疏散</w:t>
            </w:r>
          </w:p>
        </w:tc>
        <w:tc>
          <w:tcPr>
            <w:tcW w:type="dxa" w:w="3969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不把防风网直接固定在未经核算的棚架上</w:t>
            </w:r>
          </w:p>
        </w:tc>
      </w:tr>
      <w:tr>
        <w:trPr>
          <w:cantSplit/>
        </w:trPr>
        <w:tc>
          <w:tcPr>
            <w:tcW w:type="dxa" w:w="175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风到来前需处理侧幕及松散物</w:t>
            </w:r>
          </w:p>
        </w:tc>
        <w:tc>
          <w:tcPr>
            <w:tcW w:type="dxa" w:w="4195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按厂家规定在安全时机由受训人员操作；提前收纳移动遮阳、标牌及轻质物品，保留通道</w:t>
            </w:r>
          </w:p>
        </w:tc>
        <w:tc>
          <w:tcPr>
            <w:tcW w:type="dxa" w:w="3969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强风中不临时拆侧幕、追物、登高或加配重</w:t>
            </w:r>
          </w:p>
        </w:tc>
      </w:tr>
      <w:tr>
        <w:trPr>
          <w:cantSplit/>
        </w:trPr>
        <w:tc>
          <w:tcPr>
            <w:tcW w:type="dxa" w:w="175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篷房、灯杆或邻近树木异常</w:t>
            </w:r>
          </w:p>
        </w:tc>
        <w:tc>
          <w:tcPr>
            <w:tcW w:type="dxa" w:w="4195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立即停止使用受影响区域，扩大隔离范围并撤离；专业人员检查连接、支承、配重和构件</w:t>
            </w:r>
          </w:p>
        </w:tc>
        <w:tc>
          <w:tcPr>
            <w:tcW w:type="dxa" w:w="3969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不以“球还能打”判断结构安全；不自行改配重或拉索</w:t>
            </w:r>
          </w:p>
        </w:tc>
      </w:tr>
      <w:tr>
        <w:trPr>
          <w:cantSplit/>
        </w:trPr>
        <w:tc>
          <w:tcPr>
            <w:tcW w:type="dxa" w:w="175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大风后申请复场</w:t>
            </w:r>
          </w:p>
        </w:tc>
        <w:tc>
          <w:tcPr>
            <w:tcW w:type="dxa" w:w="4195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核监测及预警条件，检查棚体、灯杆、围网、松散物和通道；涉及结构异常须专业签认，再由负责人批准</w:t>
            </w:r>
          </w:p>
        </w:tc>
        <w:tc>
          <w:tcPr>
            <w:tcW w:type="dxa" w:w="3969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风暂时变小不自动复场</w:t>
            </w:r>
          </w:p>
        </w:tc>
      </w:tr>
    </w:tbl>
    <w:p>
      <w:pPr>
        <w:spacing w:after="0"/>
      </w:pPr>
    </w:p>
    <w:p>
      <w:r>
        <w:t>匹克球和网球分区决策。仅局部体验不佳且不存在更广泛安全风险时，可调整或暂停相关球场；篷房安全、飞散物或通道风险可能要求扩大停用范围。整体停场条件以属地要求和专业使用限制为准。</w:t>
      </w:r>
    </w:p>
    <w:p>
      <w:pPr>
        <w:pStyle w:val="Heading1"/>
      </w:pPr>
      <w:r>
        <w:t>四 现场执行顺序</w:t>
      </w:r>
    </w:p>
    <w:p>
      <w:r>
        <w:t>发现异常 → 教练或巡场先暂停危险活动 → 值班负责人判断范围、通知前台并组织避险 → 安全条件允许后处置和复查 → 必要时取得专业签认 → 负责人批准具体场号恢复，前台通知用户。</w:t>
      </w:r>
    </w:p>
    <w:p>
      <w:r>
        <w:t>最低交接清单：实际场地和测点图、篷房各侧幕状态的使用条件、监测与报警说明、主责和替补名单、撤离路线、专业联系人。以上涉及安全的条件未确认前，不凭短期测量结果批准相关篷房开放。</w:t>
      </w:r>
    </w:p>
    <w:p>
      <w:r>
        <w:t>费用控制。先盘点和借用体验测量工具，必要固定监测由厂家按适配方案报价；安装、校核、报警、维护和备电分别说明是否含价。未取得可靠报价的标为待询价。先解决可验证的风扰和安全问题，不提前采购全场防风网或定制数据平台。</w:t>
      </w:r>
    </w:p>
    <w:p>
      <w:r>
        <w:t>依据与边界。本方案依据现有《气候专题报告1》和策划提案作专项精简。约1.5米、每点约10分钟及首30天为内部试测安排，不是结构安全阈值。所有风速停用限值和专业监测参数均待项目供应商及结构专业确认；不把区域气象数据当作地块实测。</w:t>
      </w:r>
    </w:p>
    <w:p>
      <w:pPr>
        <w:pStyle w:val="Heading1"/>
      </w:pPr>
      <w:r>
        <w:t>五 仪器与实施预算</w:t>
      </w:r>
    </w:p>
    <w:p>
      <w:r>
        <w:t>估算日期2026年9月26日，人民币。以下提供资金预留测算，不是供应商报价，也不是采购上限。公开标价只作参考；其他金额为本方案明确设置的内部预算假设，其正式报价均待询价。实际需求、厂家确认和同口径报价优先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17"/>
        <w:gridCol w:w="3231"/>
        <w:gridCol w:w="2324"/>
        <w:gridCol w:w="2948"/>
      </w:tblGrid>
      <w:tr>
        <w:trPr>
          <w:cantSplit/>
          <w:tblHeader/>
        </w:trPr>
        <w:tc>
          <w:tcPr>
            <w:tcW w:type="dxa" w:w="1417"/>
            <w:shd w:fill="E7EBEF"/>
          </w:tcPr>
          <w:p>
            <w:pPr>
              <w:spacing w:after="100" w:before="100"/>
            </w:pPr>
            <w:r>
              <w:rPr>
                <w:b/>
                <w:sz w:val="20"/>
              </w:rPr>
              <w:t>项目</w:t>
            </w:r>
          </w:p>
        </w:tc>
        <w:tc>
          <w:tcPr>
            <w:tcW w:type="dxa" w:w="3231"/>
            <w:shd w:fill="E7EBEF"/>
          </w:tcPr>
          <w:p>
            <w:pPr>
              <w:spacing w:after="100" w:before="100"/>
            </w:pPr>
            <w:r>
              <w:rPr>
                <w:b/>
                <w:sz w:val="20"/>
              </w:rPr>
              <w:t>数量与口径</w:t>
            </w:r>
          </w:p>
        </w:tc>
        <w:tc>
          <w:tcPr>
            <w:tcW w:type="dxa" w:w="2324"/>
            <w:shd w:fill="E7EBEF"/>
          </w:tcPr>
          <w:p>
            <w:pPr>
              <w:spacing w:after="100" w:before="100"/>
            </w:pPr>
            <w:r>
              <w:rPr>
                <w:b/>
                <w:sz w:val="20"/>
              </w:rPr>
              <w:t>预留金额元</w:t>
            </w:r>
          </w:p>
        </w:tc>
        <w:tc>
          <w:tcPr>
            <w:tcW w:type="dxa" w:w="2948"/>
            <w:shd w:fill="E7EBEF"/>
          </w:tcPr>
          <w:p>
            <w:pPr>
              <w:spacing w:after="100" w:before="100"/>
            </w:pPr>
            <w:r>
              <w:rPr>
                <w:b/>
                <w:sz w:val="20"/>
              </w:rPr>
              <w:t>价格性质及范围</w:t>
            </w:r>
          </w:p>
        </w:tc>
      </w:tr>
      <w:tr>
        <w:trPr>
          <w:cantSplit/>
        </w:trPr>
        <w:tc>
          <w:tcPr>
            <w:tcW w:type="dxa" w:w="141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初测风速记录仪</w:t>
            </w:r>
          </w:p>
        </w:tc>
        <w:tc>
          <w:tcPr>
            <w:tcW w:type="dxa" w:w="3231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2台×668元</w:t>
            </w:r>
          </w:p>
        </w:tc>
        <w:tc>
          <w:tcPr>
            <w:tcW w:type="dxa" w:w="2324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1336</w:t>
            </w:r>
          </w:p>
        </w:tc>
        <w:tc>
          <w:tcPr>
            <w:tcW w:type="dxa" w:w="2948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南北潮公开标价参考；型号DT-186，适配和供货待核</w:t>
            </w:r>
          </w:p>
        </w:tc>
      </w:tr>
      <w:tr>
        <w:trPr>
          <w:cantSplit/>
        </w:trPr>
        <w:tc>
          <w:tcPr>
            <w:tcW w:type="dxa" w:w="141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初测附件与耗材</w:t>
            </w:r>
          </w:p>
        </w:tc>
        <w:tc>
          <w:tcPr>
            <w:tcW w:type="dxa" w:w="3231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1批</w:t>
            </w:r>
          </w:p>
        </w:tc>
        <w:tc>
          <w:tcPr>
            <w:tcW w:type="dxa" w:w="2324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200—400</w:t>
            </w:r>
          </w:p>
        </w:tc>
        <w:tc>
          <w:tcPr>
            <w:tcW w:type="dxa" w:w="2948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内部预留；安全支架、固定件及电池，先盘点</w:t>
            </w:r>
          </w:p>
        </w:tc>
      </w:tr>
      <w:tr>
        <w:trPr>
          <w:cantSplit/>
        </w:trPr>
        <w:tc>
          <w:tcPr>
            <w:tcW w:type="dxa" w:w="141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首轮测量与整理</w:t>
            </w:r>
          </w:p>
        </w:tc>
        <w:tc>
          <w:tcPr>
            <w:tcW w:type="dxa" w:w="3231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暂按24人小时</w:t>
            </w:r>
          </w:p>
        </w:tc>
        <w:tc>
          <w:tcPr>
            <w:tcW w:type="dxa" w:w="2324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720—1200</w:t>
            </w:r>
          </w:p>
        </w:tc>
        <w:tc>
          <w:tcPr>
            <w:tcW w:type="dxa" w:w="2948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按30—50元/人小时作内部成本假设；现有人员兼岗不直接计新增现金</w:t>
            </w:r>
          </w:p>
        </w:tc>
      </w:tr>
      <w:tr>
        <w:trPr>
          <w:cantSplit/>
        </w:trPr>
        <w:tc>
          <w:tcPr>
            <w:tcW w:type="dxa" w:w="141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固定测风记录报警系统</w:t>
            </w:r>
          </w:p>
        </w:tc>
        <w:tc>
          <w:tcPr>
            <w:tcW w:type="dxa" w:w="3231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暂按1个独立监测单元</w:t>
            </w:r>
          </w:p>
        </w:tc>
        <w:tc>
          <w:tcPr>
            <w:tcW w:type="dxa" w:w="2324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6000—10000</w:t>
            </w:r>
          </w:p>
        </w:tc>
        <w:tc>
          <w:tcPr>
            <w:tcW w:type="dxa" w:w="2948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内部预留、待询价；必须含满足厂家要求的传感、记录和现场报警，非单传感器价格</w:t>
            </w:r>
          </w:p>
        </w:tc>
      </w:tr>
      <w:tr>
        <w:trPr>
          <w:cantSplit/>
        </w:trPr>
        <w:tc>
          <w:tcPr>
            <w:tcW w:type="dxa" w:w="141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固定系统安装调试</w:t>
            </w:r>
          </w:p>
        </w:tc>
        <w:tc>
          <w:tcPr>
            <w:tcW w:type="dxa" w:w="3231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1项</w:t>
            </w:r>
          </w:p>
        </w:tc>
        <w:tc>
          <w:tcPr>
            <w:tcW w:type="dxa" w:w="2324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1000—2000</w:t>
            </w:r>
          </w:p>
        </w:tc>
        <w:tc>
          <w:tcPr>
            <w:tcW w:type="dxa" w:w="2948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内部预留、待询价；支架布线与配置，复杂高处作业和工程改造另列</w:t>
            </w:r>
          </w:p>
        </w:tc>
      </w:tr>
      <w:tr>
        <w:trPr>
          <w:cantSplit/>
        </w:trPr>
        <w:tc>
          <w:tcPr>
            <w:tcW w:type="dxa" w:w="1417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年度耗材与校核维护</w:t>
            </w:r>
          </w:p>
        </w:tc>
        <w:tc>
          <w:tcPr>
            <w:tcW w:type="dxa" w:w="3231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1年</w:t>
            </w:r>
          </w:p>
        </w:tc>
        <w:tc>
          <w:tcPr>
            <w:tcW w:type="dxa" w:w="2324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600—1200</w:t>
            </w:r>
          </w:p>
        </w:tc>
        <w:tc>
          <w:tcPr>
            <w:tcW w:type="dxa" w:w="2948"/>
            <w:shd w:fill="FFFFFF"/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内部预留、待询价；不含传感器整机更换及专项检测</w:t>
            </w:r>
          </w:p>
        </w:tc>
      </w:tr>
    </w:tbl>
    <w:p>
      <w:pPr>
        <w:spacing w:after="0"/>
      </w:pPr>
    </w:p>
    <w:p>
      <w:r>
        <w:t>方案A 初测启动。采购两台记录仪加基础附件，现金预留1536—1736元；另列现有员工首轮工作成本720—1200元，合计资源成本2256—2936元。若已确认可免费借到两台合用仪器，设备采购可省1336元，现金只预留附件200—400元；有偿租赁尚无可靠报价，按“租金＋运费＋耗材”询价，押金单列可退资金占用。该方案不替代必须的篷房安全监测。</w:t>
      </w:r>
    </w:p>
    <w:p>
      <w:r>
        <w:t>方案B 初测加固定持续监测。在方案A采购路径上，暂增1个完整固定监测单元及安装调试，首次现金预留8536—13736元；加首年维护后为9136—14936元。此数不含内部人工及待定工程费用，不能称为全项目总价。独立棚区如需增加监测单元，应按专业布点重新询价；可共用的主机、报警与安装不得重复计费。</w:t>
      </w:r>
    </w:p>
    <w:p>
      <w:r>
        <w:t>日常人工暂按每月2—4人小时作测算，占用成本60—200元/月、720—2400元/年，须用首周实测工时修正；不承诺该工时足以检查全部场地。首轮24人小时的假设为两人各8小时现场测量、另8小时整理复盘。异常大风处置和专业检修另记实际工时。</w:t>
      </w:r>
    </w:p>
    <w:p>
      <w:r>
        <w:t>场地措施费用：调整排课、收纳移动物品及按规定操作侧幕优先利用现有资源；新增防风网、立柱基础、侧幕改造、结构加固、供电防雷及高处作业须先设计核算，再按面积、数量和工程量报价，当前为待询价，不将其列作零元或包在仪器预算内。运输、税费、备电、声光装置、校准证明和现场培训是否包含，询价时逐项核实；如已含在供应商合同内，扣除重复预留。</w:t>
      </w:r>
    </w:p>
    <w:p>
      <w:r>
        <w:t>采购次序：先核借用资源和篷房监测要求，再取得两份同范围报价。初测仪器须核低风速响应、精度、可导出时间序列及环境适应性；固定系统须核阵风定义、采样与统计窗口、现场报警、离线存储和故障提示。型号列示只用于价格参考，不等于已通过本项目选型。</w:t>
      </w:r>
    </w:p>
    <w:p>
      <w:r>
        <w:t>价格来源：南北潮商城“实验室风速仪报价表”，页面报价日期2026年7月13日，DT-186为668元/台，2026年9月26日检索。https://www.nbchao.com/bj/4AB912985EB09FC8.html</w:t>
      </w:r>
    </w:p>
    <w:p>
      <w:r>
        <w:t>另查到上海峥宇官网价格表，但该页注明2016年1月1日、有效期1年，已过期，不作为当前预算单价。固定系统及服务预留金额不冒充该厂家的现行报价。https://www.zyqx.net/inventory.html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南山森兰  风测量与持续监测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Microsoft YaHei" w:hAnsi="Microsoft YaHei" w:eastAsia="微软雅黑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76" w:lineRule="auto"/>
      <w:outlineLvl w:val="0"/>
    </w:pPr>
    <w:rPr>
      <w:rFonts w:asciiTheme="majorHAnsi" w:eastAsiaTheme="majorEastAsia" w:hAnsiTheme="majorHAnsi" w:cstheme="majorBidi" w:ascii="Microsoft YaHei" w:hAnsi="Microsoft YaHei" w:eastAsia="微软雅黑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76" w:lineRule="auto"/>
      <w:contextualSpacing/>
    </w:pPr>
    <w:rPr>
      <w:rFonts w:asciiTheme="majorHAnsi" w:eastAsiaTheme="majorEastAsia" w:hAnsiTheme="majorHAnsi" w:cstheme="majorBidi" w:ascii="Microsoft YaHei" w:hAnsi="Microsoft YaHei" w:eastAsia="微软雅黑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南山森兰运动公园风测量与持续监测方案</dc:title>
  <dc:subject/>
  <dc:creator>项目策划组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